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COP.2.g — Dead on arrival and death within minutes of arrival</w:t>
      </w:r>
    </w:p>
    <w:p>
      <w:r>
        <w:t>COP.2 Record 7 — Brought-dead and death-within-minutes register</w:t>
      </w:r>
    </w:p>
    <w:p/>
    <w:p/>
    <w:p/>
    <w:p>
      <w:r>
        <w:t>How to fill this in — column by column</w:t>
      </w:r>
    </w:p>
    <w:p>
      <w:pPr>
        <w:pStyle w:val="ListParagraph"/>
      </w:pPr>
      <w:r>
        <w:t>Date/Time of Arrival: When the patient arrived.</w:t>
      </w:r>
    </w:p>
    <w:p>
      <w:pPr>
        <w:pStyle w:val="ListParagraph"/>
      </w:pPr>
      <w:r>
        <w:t>Patient Name / UHID: Patient identification.</w:t>
      </w:r>
    </w:p>
    <w:p>
      <w:pPr>
        <w:pStyle w:val="ListParagraph"/>
      </w:pPr>
      <w:r>
        <w:t>Brought Dead or Died Within Minutes?: Which category applies.</w:t>
      </w:r>
    </w:p>
    <w:p>
      <w:pPr>
        <w:pStyle w:val="ListParagraph"/>
      </w:pPr>
      <w:r>
        <w:t>Time of Death / Certification: When death was certified.</w:t>
      </w:r>
    </w:p>
    <w:p>
      <w:pPr>
        <w:pStyle w:val="ListParagraph"/>
      </w:pPr>
      <w:r>
        <w:t>MLC Criteria Met? (Y/N): Whether this death also meets the hospital's MLC criteria.</w:t>
      </w:r>
    </w:p>
    <w:p>
      <w:pPr>
        <w:pStyle w:val="ListParagraph"/>
      </w:pPr>
      <w:r>
        <w:t>Police Informed? (Y/N, Date/Time): Whether and when police were informed, where required.</w:t>
      </w:r>
    </w:p>
    <w:p>
      <w:pPr>
        <w:pStyle w:val="ListParagraph"/>
      </w:pPr>
      <w:r>
        <w:t>Reviewed in QA? (Y/N, date): Whether this case was reviewed under the emergency QA programme.</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COP.2.</w:t>
      </w:r>
    </w:p>
    <w:p>
      <w:pPr>
        <w:pStyle w:val="ListParagraph"/>
        <w:spacing w:before="80" w:after="240"/>
        <w:contextualSpacing w:val="0"/>
      </w:pPr>
      <w:r>
        <w:t xml:space="preserve">• Government of India. (2023). </w:t>
      </w:r>
      <w:hyperlink r:id="rId10">
        <w:r>
          <w:rPr>
            <w:color w:val="0563C1"/>
            <w:u w:val="single"/>
          </w:rPr>
          <w:t>The Bharatiya Nagarik Suraksha Sanhita, 2023 (Act No. 46 of 2023), s. 194</w:t>
        </w:r>
      </w:hyperlink>
      <w:r>
        <w:t xml:space="preserve"> ("Police to enquire and report on suicide, etc."), the current provision governing police intimation and reporting for deaths brought to, or occurring at, the hospital, in supersession of the Code of Criminal Procedure, 1973.</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register ensuring every brought-dead or death-within-minutes case is certified, checked for MLC criteria, reported to police where required, and reviewed -- not quietly closed.</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A patient arrives unresponsive after a cardiac event and cannot be revived. This register captures certification, the MLC check, and the later QA review of whether anything could have been done differently.</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a defined process for dead-on-arrival and death-within-minutes cases, consistent with statutory reporting obligations.</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cantSplit/>
        </w:trPr>
        <w:tc>
          <w:tcPr>
            <w:tcW w:type="dxa" w:w="1234"/>
          </w:tcPr>
          <w:p>
            <w:r>
              <w:t>Date/Time of Arrival</w:t>
            </w:r>
          </w:p>
        </w:tc>
        <w:tc>
          <w:tcPr>
            <w:tcW w:type="dxa" w:w="1234"/>
          </w:tcPr>
          <w:p>
            <w:r>
              <w:t>Patient Name / UHID</w:t>
            </w:r>
          </w:p>
        </w:tc>
        <w:tc>
          <w:tcPr>
            <w:tcW w:type="dxa" w:w="1234"/>
          </w:tcPr>
          <w:p>
            <w:r>
              <w:t>Brought Dead or Died Within Minutes?</w:t>
            </w:r>
          </w:p>
        </w:tc>
        <w:tc>
          <w:tcPr>
            <w:tcW w:type="dxa" w:w="1234"/>
          </w:tcPr>
          <w:p>
            <w:r>
              <w:t>Time of Death / Certification</w:t>
            </w:r>
          </w:p>
        </w:tc>
        <w:tc>
          <w:tcPr>
            <w:tcW w:type="dxa" w:w="1234"/>
          </w:tcPr>
          <w:p>
            <w:r>
              <w:t>MLC Criteria Met? (Y/N)</w:t>
            </w:r>
          </w:p>
        </w:tc>
        <w:tc>
          <w:tcPr>
            <w:tcW w:type="dxa" w:w="1234"/>
          </w:tcPr>
          <w:p>
            <w:r>
              <w:t>Police Informed? (Y/N, Date/Time)</w:t>
            </w:r>
          </w:p>
        </w:tc>
        <w:tc>
          <w:tcPr>
            <w:tcW w:type="dxa" w:w="1234"/>
          </w:tcPr>
          <w:p>
            <w:r>
              <w:t>Reviewed in QA? (Y/N, date)</w:t>
            </w:r>
          </w:p>
        </w:tc>
      </w:tr>
      <w:tr>
        <w:trPr>
          <w:cantSplit/>
        </w:trPr>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r>
      <w:tr>
        <w:trPr>
          <w:cantSplit/>
        </w:trPr>
        <w:tc>
          <w:tcPr>
            <w:tcW w:type="dxa" w:w="1234"/>
            <w:shd w:val="clear" w:color="auto" w:fill="FFF2CC"/>
          </w:tcPr>
          <w:p>
            <w:r>
              <w:t>12/03/2026 23:10</w:t>
            </w:r>
          </w:p>
        </w:tc>
        <w:tc>
          <w:tcPr>
            <w:tcW w:type="dxa" w:w="1234"/>
            <w:shd w:val="clear" w:color="auto" w:fill="FFF2CC"/>
          </w:tcPr>
          <w:p>
            <w:r>
              <w:t>«Patient Name» / UHID-00420</w:t>
            </w:r>
          </w:p>
        </w:tc>
        <w:tc>
          <w:tcPr>
            <w:tcW w:type="dxa" w:w="1234"/>
            <w:shd w:val="clear" w:color="auto" w:fill="FFF2CC"/>
          </w:tcPr>
          <w:p>
            <w:r>
              <w:t>Brought dead</w:t>
            </w:r>
          </w:p>
        </w:tc>
        <w:tc>
          <w:tcPr>
            <w:tcW w:type="dxa" w:w="1234"/>
            <w:shd w:val="clear" w:color="auto" w:fill="FFF2CC"/>
          </w:tcPr>
          <w:p>
            <w:r>
              <w:t>23:12</w:t>
            </w:r>
          </w:p>
        </w:tc>
        <w:tc>
          <w:tcPr>
            <w:tcW w:type="dxa" w:w="1234"/>
            <w:shd w:val="clear" w:color="auto" w:fill="FFF2CC"/>
          </w:tcPr>
          <w:p>
            <w:r>
              <w:t>Y</w:t>
            </w:r>
          </w:p>
        </w:tc>
        <w:tc>
          <w:tcPr>
            <w:tcW w:type="dxa" w:w="1234"/>
            <w:shd w:val="clear" w:color="auto" w:fill="FFF2CC"/>
          </w:tcPr>
          <w:p>
            <w:r>
              <w:t>Y, 23:30</w:t>
            </w:r>
          </w:p>
        </w:tc>
        <w:tc>
          <w:tcPr>
            <w:tcW w:type="dxa" w:w="1234"/>
            <w:shd w:val="clear" w:color="auto" w:fill="FFF2CC"/>
          </w:tcPr>
          <w:p>
            <w:r>
              <w:t>Y, Apr 2026 QA review</w:t>
            </w: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indiacode.nic.in/bitstream/123456789/20099/3/A2023-4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