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COP.5.a — Transfusion services commensurate with defined services, governed by law</w:t>
      </w:r>
    </w:p>
    <w:p>
      <w:r>
        <w:t>COP.5 Record 1 — Transfusion scope of services and blood bank licence register</w:t>
      </w:r>
    </w:p>
    <w:p/>
    <w:p/>
    <w:p/>
    <w:p>
      <w:r>
        <w:t>How to fill this in — column by column</w:t>
      </w:r>
    </w:p>
    <w:p>
      <w:pPr>
        <w:pStyle w:val="ListParagraph"/>
      </w:pPr>
      <w:r>
        <w:t>Component: Blood component the hospital uses (e.g., PRBC, FFP, platelets).</w:t>
      </w:r>
    </w:p>
    <w:p>
      <w:pPr>
        <w:pStyle w:val="ListParagraph"/>
      </w:pPr>
      <w:r>
        <w:t>Clinical Area(s): Where this component is transfused.</w:t>
      </w:r>
    </w:p>
    <w:p>
      <w:pPr>
        <w:pStyle w:val="ListParagraph"/>
      </w:pPr>
      <w:r>
        <w:t>Source: In-house licensed centre / tie-up blood bank name.</w:t>
      </w:r>
    </w:p>
    <w:p>
      <w:pPr>
        <w:pStyle w:val="ListParagraph"/>
      </w:pPr>
      <w:r>
        <w:t>Licence No. / Form: The source's current licence number and form (e.g., Form 28-C).</w:t>
      </w:r>
    </w:p>
    <w:p>
      <w:pPr>
        <w:pStyle w:val="ListParagraph"/>
      </w:pPr>
      <w:r>
        <w:t>Licence Valid Until: Expiry date of the current licence.</w:t>
      </w:r>
    </w:p>
    <w:p>
      <w:pPr>
        <w:pStyle w:val="ListParagraph"/>
      </w:pPr>
      <w:r>
        <w:t>Verified By / Date: Who last checked the licence was current, and when.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  <w:spacing w:before="80" w:after="240"/>
        <w:contextualSpacing w:val="0"/>
      </w:pPr>
      <w:r>
        <w:t xml:space="preserve">• 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Care of Patients chapter, standard COP.5.</w:t>
      </w:r>
    </w:p>
    <w:p>
      <w:pPr>
        <w:pStyle w:val="ListParagraph"/>
        <w:spacing w:before="80" w:after="240"/>
        <w:contextualSpacing w:val="0"/>
      </w:pPr>
      <w:r>
        <w:t xml:space="preserve">• Government of India, Ministry of Health and Family Welfare. (1999). </w:t>
      </w:r>
      <w:hyperlink r:id="rId10">
        <w:r>
          <w:rPr>
            <w:color w:val="0563C1"/>
            <w:u w:val="single"/>
          </w:rPr>
          <w:t>The Drugs and Cosmetics (2nd Amendment) Rules, 1999 (G.S.R. 245(E), dated 5 April 1999), amending the Drugs and Cosmetics Rules, 1945 under the Drugs and Cosmetics Act, 1940</w:t>
        </w:r>
      </w:hyperlink>
      <w:r>
        <w:t xml:space="preserve"> which requires every blood bank to hold a licence (Form 28-C, under Rule 122 / Part X-B and Schedule F Part XII-B) before issuing blood or blood components.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What is this record, in plain terms?</w:t>
            </w:r>
          </w:p>
          <w:p>
            <w:r>
              <w:t>A register proving every component this hospital uses actually comes from a currently licensed source -- not assumed, checked.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A real example of when you'd use this</w:t>
            </w:r>
          </w:p>
          <w:p>
            <w:r>
              <w:t>Before the blood bank's licence renewal falls due, this register flags it so the hospital can confirm the renewed licence before the old one lapses.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Why does NABH ask for this?</w:t>
            </w:r>
          </w:p>
          <w:p>
            <w:r>
              <w:t>NABH requires transfusion services to be governed by the applicable laws and regulations, including licensing of the blood bank or blood centre.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W w:type="dxa" w:w="1440"/>
          </w:tcPr>
          <w:p>
            <w:r>
              <w:t>Component</w:t>
            </w:r>
          </w:p>
        </w:tc>
        <w:tc>
          <w:tcPr>
            <w:tcW w:type="dxa" w:w="1440"/>
          </w:tcPr>
          <w:p>
            <w:r>
              <w:t>Clinical Area(s)</w:t>
            </w:r>
          </w:p>
        </w:tc>
        <w:tc>
          <w:tcPr>
            <w:tcW w:type="dxa" w:w="1440"/>
          </w:tcPr>
          <w:p>
            <w:r>
              <w:t>Source</w:t>
            </w:r>
          </w:p>
        </w:tc>
        <w:tc>
          <w:tcPr>
            <w:tcW w:type="dxa" w:w="1440"/>
          </w:tcPr>
          <w:p>
            <w:r>
              <w:t>Licence No. / Form</w:t>
            </w:r>
          </w:p>
        </w:tc>
        <w:tc>
          <w:tcPr>
            <w:tcW w:type="dxa" w:w="1440"/>
          </w:tcPr>
          <w:p>
            <w:r>
              <w:t>Licence Valid Until</w:t>
            </w:r>
          </w:p>
        </w:tc>
        <w:tc>
          <w:tcPr>
            <w:tcW w:type="dxa" w:w="1440"/>
          </w:tcPr>
          <w:p>
            <w:r>
              <w:t>Verified By / Date</w:t>
            </w:r>
          </w:p>
        </w:tc>
      </w:tr>
      <w:tr>
        <w:trPr>
          <w:cantSplit/>
        </w:trPr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</w:tr>
      <w:tr>
        <w:trPr>
          <w:cantSplit/>
        </w:trPr>
        <w:tc>
          <w:tcPr>
            <w:tcW w:type="dxa" w:w="1440"/>
            <w:shd w:val="clear" w:color="auto" w:fill="FFF2CC"/>
          </w:tcPr>
          <w:p>
            <w:r>
              <w:t>Packed Red Blood Cells</w:t>
            </w:r>
          </w:p>
        </w:tc>
        <w:tc>
          <w:tcPr>
            <w:tcW w:type="dxa" w:w="1440"/>
            <w:shd w:val="clear" w:color="auto" w:fill="FFF2CC"/>
          </w:tcPr>
          <w:p>
            <w:r>
              <w:t>All in-patient wards, ED, OT</w:t>
            </w:r>
          </w:p>
        </w:tc>
        <w:tc>
          <w:tcPr>
            <w:tcW w:type="dxa" w:w="1440"/>
            <w:shd w:val="clear" w:color="auto" w:fill="FFF2CC"/>
          </w:tcPr>
          <w:p>
            <w:r>
              <w:t>«Blood Bank Name»</w:t>
            </w:r>
          </w:p>
        </w:tc>
        <w:tc>
          <w:tcPr>
            <w:tcW w:type="dxa" w:w="1440"/>
            <w:shd w:val="clear" w:color="auto" w:fill="FFF2CC"/>
          </w:tcPr>
          <w:p>
            <w:r>
              <w:t>28-C/«No.»</w:t>
            </w:r>
          </w:p>
        </w:tc>
        <w:tc>
          <w:tcPr>
            <w:tcW w:type="dxa" w:w="1440"/>
            <w:shd w:val="clear" w:color="auto" w:fill="FFF2CC"/>
          </w:tcPr>
          <w:p>
            <w:r>
              <w:t>31/12/2026</w:t>
            </w:r>
          </w:p>
        </w:tc>
        <w:tc>
          <w:tcPr>
            <w:tcW w:type="dxa" w:w="1440"/>
            <w:shd w:val="clear" w:color="auto" w:fill="FFF2CC"/>
          </w:tcPr>
          <w:p>
            <w:r>
              <w:t>Quality Coordinator «Name», 01/03/2026</w:t>
            </w:r>
          </w:p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Relationship Id="rId10" Type="http://schemas.openxmlformats.org/officeDocument/2006/relationships/hyperlink" Target="https://cdsco.gov.in/opencms/resources/UploadCDSCOWeb/2022/drug_rules/DR_G.S.R.%20245(E)%20dt_05.04.1999_Amendment%20to%20Rule%20122_Requirements%20of%20blood%20bank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