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COP.6.c — Infection-control practices documented in the unit guidance and followed</w:t>
      </w:r>
    </w:p>
    <w:p>
      <w:r>
        <w:t>COP.6 Record 3 — ICU/HDU infection-control practice compliance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check.</w:t>
      </w:r>
    </w:p>
    <w:p>
      <w:pPr>
        <w:pStyle w:val="ListParagraph"/>
      </w:pPr>
      <w:r>
        <w:t>Patient Name / UHID: Patient identification, where device-specific.</w:t>
      </w:r>
    </w:p>
    <w:p>
      <w:pPr>
        <w:pStyle w:val="ListParagraph"/>
      </w:pPr>
      <w:r>
        <w:t>Practice Checked: e.g., hand hygiene compliance, ventilator bundle, device-day count supplied.</w:t>
      </w:r>
    </w:p>
    <w:p>
      <w:pPr>
        <w:pStyle w:val="ListParagraph"/>
      </w:pPr>
      <w:r>
        <w:t>Source Policy: HIC.2 / HIC.4 / HIC.5, as applicable.</w:t>
      </w:r>
    </w:p>
    <w:p>
      <w:pPr>
        <w:pStyle w:val="ListParagraph"/>
      </w:pPr>
      <w:r>
        <w:t>Followed? (Y/N): Whether the practice was confirmed followed.</w:t>
      </w:r>
    </w:p>
    <w:p>
      <w:pPr>
        <w:pStyle w:val="ListParagraph"/>
      </w:pPr>
      <w:r>
        <w:t>Gap Raised to IPCC? (Y/N, detail): Any gap raised to the Infection Prevention and Control Committee.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this unit's infection-control practices -- the hospital's own HIC policies, not a local rewrite -- are actually being followed on its beds, using the records those policies already require.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monthly check confirms the unit supplied every device-day count HIC.5 needed, and that no local 'ICU infection SOP' had quietly drifted from the approved bundle -- captured 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infection-control practices to be documented and followed -- a Commitment, asterisked requirement, without this unit reprinting bundles, waste colour codes or surveillance case definitions.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Practice Checked</w:t>
            </w:r>
          </w:p>
        </w:tc>
        <w:tc>
          <w:tcPr>
            <w:tcW w:type="dxa" w:w="1440"/>
          </w:tcPr>
          <w:p>
            <w:r>
              <w:t>Source Policy</w:t>
            </w:r>
          </w:p>
        </w:tc>
        <w:tc>
          <w:tcPr>
            <w:tcW w:type="dxa" w:w="1440"/>
          </w:tcPr>
          <w:p>
            <w:r>
              <w:t>Followed? (Y/N)</w:t>
            </w:r>
          </w:p>
        </w:tc>
        <w:tc>
          <w:tcPr>
            <w:tcW w:type="dxa" w:w="1440"/>
          </w:tcPr>
          <w:p>
            <w:r>
              <w:t>Gap Raised to IPCC? (Y/N, detail)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UHID-00460</w:t>
            </w:r>
          </w:p>
        </w:tc>
        <w:tc>
          <w:tcPr>
            <w:tcW w:type="dxa" w:w="1440"/>
            <w:shd w:val="clear" w:color="auto" w:fill="FFF2CC"/>
          </w:tcPr>
          <w:p>
            <w:r>
              <w:t>Ventilator bundle elements for the day</w:t>
            </w:r>
          </w:p>
        </w:tc>
        <w:tc>
          <w:tcPr>
            <w:tcW w:type="dxa" w:w="1440"/>
            <w:shd w:val="clear" w:color="auto" w:fill="FFF2CC"/>
          </w:tcPr>
          <w:p>
            <w:r>
              <w:t>HIC.4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