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COP.7.a — Obstetric services organised and provided safely</w:t>
      </w:r>
    </w:p>
    <w:p>
      <w:r>
        <w:t>COP.7 Record 1 — Obstetric scope compliance and sex-determination-prohibition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check or event.</w:t>
      </w:r>
    </w:p>
    <w:p>
      <w:pPr>
        <w:pStyle w:val="ListParagraph"/>
      </w:pPr>
      <w:r>
        <w:t>Patient Name / UHID: Patient identification, where applicable.</w:t>
      </w:r>
    </w:p>
    <w:p>
      <w:pPr>
        <w:pStyle w:val="ListParagraph"/>
      </w:pPr>
      <w:r>
        <w:t>Event: Routine guidance check / Family request for foetal sex / MTP case.</w:t>
      </w:r>
    </w:p>
    <w:p>
      <w:pPr>
        <w:pStyle w:val="ListParagraph"/>
      </w:pPr>
      <w:r>
        <w:t>Outcome: What happened -- e.g., request refused, MTP provided per arrangement.</w:t>
      </w:r>
    </w:p>
    <w:p>
      <w:pPr>
        <w:pStyle w:val="ListParagraph"/>
      </w:pPr>
      <w:r>
        <w:t>Staff Involved: Who was involved.</w:t>
      </w:r>
    </w:p>
    <w:p>
      <w:pPr>
        <w:pStyle w:val="ListParagraph"/>
      </w:pPr>
      <w:r>
        <w:t>Recorded By: Who logged the entry.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COP.7.</w:t>
      </w:r>
    </w:p>
    <w:p>
      <w:pPr>
        <w:pStyle w:val="ListParagraph"/>
        <w:spacing w:before="80" w:after="240"/>
        <w:contextualSpacing w:val="0"/>
      </w:pPr>
      <w:r>
        <w:t xml:space="preserve">• Government of India, Ministry of Health and Family Welfare. (1994). </w:t>
      </w:r>
      <w:hyperlink r:id="rId10">
        <w:r>
          <w:rPr>
            <w:color w:val="0563C1"/>
            <w:u w:val="single"/>
          </w:rPr>
          <w:t>The Pre-Conception and Pre-Natal Diagnostic Techniques (Prohibition of Sex Selection) Act, 1994, ss. 3A, 5(2) and 6</w:t>
        </w:r>
      </w:hyperlink>
      <w:r>
        <w:t xml:space="preserve"> which prohibit sex selection, prohibit communicating the sex of a foetus to the pregnant woman, her relatives, or anyone else by any means, and prohibit sex determination through pre-natal diagnostic techniques including ultrasonography.</w:t>
      </w:r>
    </w:p>
    <w:p>
      <w:pPr>
        <w:pStyle w:val="ListParagraph"/>
        <w:spacing w:before="80" w:after="240"/>
        <w:contextualSpacing w:val="0"/>
      </w:pPr>
      <w:r>
        <w:t xml:space="preserve">• Government of India. (2021). </w:t>
      </w:r>
      <w:hyperlink r:id="rId11">
        <w:r>
          <w:rPr>
            <w:color w:val="0563C1"/>
            <w:u w:val="single"/>
          </w:rPr>
          <w:t>The Medical Termination of Pregnancy (Amendment) Act, 2021 (Act No. 8 of 2021), amending the Medical Termination of Pregnancy Act, 1971</w:t>
        </w:r>
      </w:hyperlink>
      <w:r>
        <w:t xml:space="preserve"> which sets the current gestational limits and opinion requirements for termination, requires a Medical Board for cases beyond those limits involving substantial foetal abnormality, and (s. 5A) makes it an offence for a registered medical practitioner to reveal the identity of a woman whose pregnancy was terminated.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obstetric service actually refuses to determine or communicate a foetus's sex when asked -- not just that a policy exists saying it shouldn't.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family asks an obstetrician directly whether they're having a boy or girl. The refusal, and the reason given to the family, are logged here as the clinical act it 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obstetric services to be organised and provided safely, including the legal prohibition on sex determination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  <w:tc>
          <w:tcPr>
            <w:tcW w:type="dxa" w:w="1440"/>
          </w:tcPr>
          <w:p>
            <w:r>
              <w:t>Staff Involved</w:t>
            </w:r>
          </w:p>
        </w:tc>
        <w:tc>
          <w:tcPr>
            <w:tcW w:type="dxa" w:w="1440"/>
          </w:tcPr>
          <w:p>
            <w:r>
              <w:t>Recorded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UHID-00470</w:t>
            </w:r>
          </w:p>
        </w:tc>
        <w:tc>
          <w:tcPr>
            <w:tcW w:type="dxa" w:w="1440"/>
            <w:shd w:val="clear" w:color="auto" w:fill="FFF2CC"/>
          </w:tcPr>
          <w:p>
            <w:r>
              <w:t>Family requested foetal sex at 20-week scan</w:t>
            </w:r>
          </w:p>
        </w:tc>
        <w:tc>
          <w:tcPr>
            <w:tcW w:type="dxa" w:w="1440"/>
            <w:shd w:val="clear" w:color="auto" w:fill="FFF2CC"/>
          </w:tcPr>
          <w:p>
            <w:r>
              <w:t>Refused; explained PC-PNDT prohibition to family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 (Obstetrician)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pndt.mohfw.gov.in/WriteReadData/l892s/PC-PNDT%20ACT-1994.pdf" TargetMode="External"/><Relationship Id="rId11" Type="http://schemas.openxmlformats.org/officeDocument/2006/relationships/hyperlink" Target="https://PRSINDIA.org/files/bills_acts/acts_parliament/2021/Medical%20Termination%20of%20Pregnancy%20Amendment%20Act%20202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