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COP.7.c — Antenatal assessment includes maternal nutrition</w:t>
      </w:r>
    </w:p>
    <w:p>
      <w:r>
        <w:t>COP.7 Record 3 — Antenatal maternal-nutrition assessment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Visit Date: Date of antenatal visit.</w:t>
      </w:r>
    </w:p>
    <w:p>
      <w:pPr>
        <w:pStyle w:val="ListParagraph"/>
      </w:pPr>
      <w:r>
        <w:t>Patient Name / UHID: Patient identification.</w:t>
      </w:r>
    </w:p>
    <w:p>
      <w:pPr>
        <w:pStyle w:val="ListParagraph"/>
      </w:pPr>
      <w:r>
        <w:t>Dietary History Taken? (Y/N): Confirms a real history, not just weight.</w:t>
      </w:r>
    </w:p>
    <w:p>
      <w:pPr>
        <w:pStyle w:val="ListParagraph"/>
      </w:pPr>
      <w:r>
        <w:t>Nutritional Risk Identified: e.g., anaemia risk, inadequate intake.</w:t>
      </w:r>
    </w:p>
    <w:p>
      <w:pPr>
        <w:pStyle w:val="ListParagraph"/>
      </w:pPr>
      <w:r>
        <w:t>Advice/Supplementation Given: What was actually offered.</w:t>
      </w:r>
    </w:p>
    <w:p>
      <w:pPr>
        <w:pStyle w:val="ListParagraph"/>
      </w:pPr>
      <w:r>
        <w:t>Recorded By: Staff member who performed the assessment.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maternal nutrition is a real part of the antenatal visit -- a history and a risk assessment, not just a number on a chart.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routine antenatal visit catches early anaemia risk through an actual dietary history, not just a weigh-in, and supplementation starts immediately -- logged here.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antenatal assessment to also include maternal nutrition -- a Commitment, asterisked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Visit Date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Dietary History Taken? (Y/N)</w:t>
            </w:r>
          </w:p>
        </w:tc>
        <w:tc>
          <w:tcPr>
            <w:tcW w:type="dxa" w:w="1440"/>
          </w:tcPr>
          <w:p>
            <w:r>
              <w:t>Nutritional Risk Identified</w:t>
            </w:r>
          </w:p>
        </w:tc>
        <w:tc>
          <w:tcPr>
            <w:tcW w:type="dxa" w:w="1440"/>
          </w:tcPr>
          <w:p>
            <w:r>
              <w:t>Advice/Supplementation Given</w:t>
            </w:r>
          </w:p>
        </w:tc>
        <w:tc>
          <w:tcPr>
            <w:tcW w:type="dxa" w:w="1440"/>
          </w:tcPr>
          <w:p>
            <w:r>
              <w:t>Recorded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UHID-00472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Mild anaemia risk (Hb 10.2)</w:t>
            </w:r>
          </w:p>
        </w:tc>
        <w:tc>
          <w:tcPr>
            <w:tcW w:type="dxa" w:w="1440"/>
            <w:shd w:val="clear" w:color="auto" w:fill="FFF2CC"/>
          </w:tcPr>
          <w:p>
            <w:r>
              <w:t>Iron-folic acid supplementation, dietary counselling on iron-rich foods</w:t>
            </w:r>
          </w:p>
        </w:tc>
        <w:tc>
          <w:tcPr>
            <w:tcW w:type="dxa" w:w="1440"/>
            <w:shd w:val="clear" w:color="auto" w:fill="FFF2CC"/>
          </w:tcPr>
          <w:p>
            <w:r>
              <w:t>Nurse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