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COP.9.a — Procedural sedation administered in a consistent manner</w:t>
      </w:r>
    </w:p>
    <w:p>
      <w:r>
        <w:t>COP.9 Record 1 — Sedation guidance, location and depth register</w:t>
      </w:r>
    </w:p>
    <w:p/>
    <w:p/>
    <w:p/>
    <w:p>
      <w:r>
        <w:t>How to fill this in — column by column</w:t>
      </w:r>
    </w:p>
    <w:p>
      <w:pPr>
        <w:pStyle w:val="ListParagraph"/>
      </w:pPr>
      <w:r>
        <w:t>Location: Operation theatre / endoscopy / emergency area / day-care / imaging / other named location.</w:t>
      </w:r>
    </w:p>
    <w:p>
      <w:pPr>
        <w:pStyle w:val="ListParagraph"/>
      </w:pPr>
      <w:r>
        <w:t>Depth(s) of Sedation Provided: Minimal / moderate / deep, as named by this hospital.</w:t>
      </w:r>
    </w:p>
    <w:p>
      <w:pPr>
        <w:pStyle w:val="ListParagraph"/>
      </w:pPr>
      <w:r>
        <w:t>Written Guidance Version in Use: Version and date of the guidance this location is working from.</w:t>
      </w:r>
    </w:p>
    <w:p>
      <w:pPr>
        <w:pStyle w:val="ListParagraph"/>
      </w:pPr>
      <w:r>
        <w:t>Last Reviewed/Revised: Date of last review or revision.</w:t>
      </w:r>
    </w:p>
    <w:p>
      <w:pPr>
        <w:pStyle w:val="ListParagraph"/>
      </w:pPr>
      <w:r>
        <w:t>Confirmed Current By: Person who confirmed the location holds the current version.</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before="80" w:after="24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COP.9.</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A register proving every location that sedates is working from the same, current written guidance -- not a different habit in each room.</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An assessor asks how sedation in endoscopy relates to sedation in the emergency area. This register shows both are using the same version of the same guidance, with the depths each location actually provides named.</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NABH requires procedural sedation to be administered in a consistent manner -- a Commitment, asterisked requirement.</w:t>
            </w:r>
          </w:p>
        </w:tc>
      </w:tr>
    </w:tbl>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t>Location</w:t>
            </w:r>
          </w:p>
        </w:tc>
        <w:tc>
          <w:tcPr>
            <w:tcW w:type="dxa" w:w="1728"/>
          </w:tcPr>
          <w:p>
            <w:r>
              <w:t>Depth(s) of Sedation Provided</w:t>
            </w:r>
          </w:p>
        </w:tc>
        <w:tc>
          <w:tcPr>
            <w:tcW w:type="dxa" w:w="1728"/>
          </w:tcPr>
          <w:p>
            <w:r>
              <w:t>Written Guidance Version in Use</w:t>
            </w:r>
          </w:p>
        </w:tc>
        <w:tc>
          <w:tcPr>
            <w:tcW w:type="dxa" w:w="1728"/>
          </w:tcPr>
          <w:p>
            <w:r>
              <w:t>Last Reviewed/Revised</w:t>
            </w:r>
          </w:p>
        </w:tc>
        <w:tc>
          <w:tcPr>
            <w:tcW w:type="dxa" w:w="1728"/>
          </w:tcPr>
          <w:p>
            <w:r>
              <w:t>Confirmed Current By</w:t>
            </w:r>
          </w:p>
        </w:tc>
      </w:tr>
      <w:tr>
        <w:trPr>
          <w:cantSplit/>
        </w:trPr>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r>
      <w:tr>
        <w:trPr>
          <w:cantSplit/>
        </w:trPr>
        <w:tc>
          <w:tcPr>
            <w:tcW w:type="dxa" w:w="1728"/>
            <w:shd w:val="clear" w:color="auto" w:fill="FFF2CC"/>
          </w:tcPr>
          <w:p>
            <w:r>
              <w:t>Endoscopy Room</w:t>
            </w:r>
          </w:p>
        </w:tc>
        <w:tc>
          <w:tcPr>
            <w:tcW w:type="dxa" w:w="1728"/>
            <w:shd w:val="clear" w:color="auto" w:fill="FFF2CC"/>
          </w:tcPr>
          <w:p>
            <w:r>
              <w:t>Minimal, Moderate</w:t>
            </w:r>
          </w:p>
        </w:tc>
        <w:tc>
          <w:tcPr>
            <w:tcW w:type="dxa" w:w="1728"/>
            <w:shd w:val="clear" w:color="auto" w:fill="FFF2CC"/>
          </w:tcPr>
          <w:p>
            <w:r>
              <w:t>v1.0, 01/02/2026</w:t>
            </w:r>
          </w:p>
        </w:tc>
        <w:tc>
          <w:tcPr>
            <w:tcW w:type="dxa" w:w="1728"/>
            <w:shd w:val="clear" w:color="auto" w:fill="FFF2CC"/>
          </w:tcPr>
          <w:p>
            <w:r>
              <w:t>01/02/2026</w:t>
            </w:r>
          </w:p>
        </w:tc>
        <w:tc>
          <w:tcPr>
            <w:tcW w:type="dxa" w:w="1728"/>
            <w:shd w:val="clear" w:color="auto" w:fill="FFF2CC"/>
          </w:tcPr>
          <w:p>
            <w:r>
              <w:t>Named Procedural-Sedation Lead «Name»</w:t>
            </w: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r>
        <w:trPr>
          <w:cantSplit/>
        </w:trP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