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COP.9.d — Intra-procedure monitoring of the six required parameters</w:t>
      </w:r>
    </w:p>
    <w:p>
      <w:r>
        <w:t>COP.9 Record 5 — Intra-procedure sedation monitoring record</w:t>
      </w:r>
    </w:p>
    <w:p/>
    <w:p/>
    <w:p/>
    <w:p>
      <w:r>
        <w:t>How to fill this in — column by column</w:t>
      </w:r>
    </w:p>
    <w:p>
      <w:pPr>
        <w:pStyle w:val="ListParagraph"/>
      </w:pPr>
      <w:r>
        <w:t>Time: Time of each observation set.</w:t>
      </w:r>
    </w:p>
    <w:p>
      <w:pPr>
        <w:pStyle w:val="ListParagraph"/>
      </w:pPr>
      <w:r>
        <w:t>Heart Rate: Reading.</w:t>
      </w:r>
    </w:p>
    <w:p>
      <w:pPr>
        <w:pStyle w:val="ListParagraph"/>
      </w:pPr>
      <w:r>
        <w:t>Cardiac Rhythm: Observed rhythm.</w:t>
      </w:r>
    </w:p>
    <w:p>
      <w:pPr>
        <w:pStyle w:val="ListParagraph"/>
      </w:pPr>
      <w:r>
        <w:t>Respiratory Rate: Reading.</w:t>
      </w:r>
    </w:p>
    <w:p>
      <w:pPr>
        <w:pStyle w:val="ListParagraph"/>
      </w:pPr>
      <w:r>
        <w:t>Blood Pressure: Reading.</w:t>
      </w:r>
    </w:p>
    <w:p>
      <w:pPr>
        <w:pStyle w:val="ListParagraph"/>
      </w:pPr>
      <w:r>
        <w:t>Oxygen Saturation: Reading.</w:t>
      </w:r>
    </w:p>
    <w:p>
      <w:pPr>
        <w:pStyle w:val="ListParagraph"/>
      </w:pPr>
      <w:r>
        <w:t>Level of Sedation: Recorded against the hospital's chosen scale.</w:t>
      </w:r>
    </w:p>
    <w:p>
      <w: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p/>
    <w:p>
      <w:r>
        <w:t>Where this requirement comes from (verified, clickable sources)</w:t>
      </w:r>
    </w:p>
    <w:p>
      <w:pPr>
        <w:pStyle w:val="ListParagraph"/>
        <w:spacing w:before="80" w:after="240"/>
        <w:contextualSpacing w:val="0"/>
      </w:pPr>
      <w:r>
        <w:t xml:space="preserve">• National Accreditation Board for Hospitals and Healthcare Providers. (2022). Standards for Small Healthcare Organisations (3rd ed.). </w:t>
      </w:r>
      <w:hyperlink r:id="rId9">
        <w:r>
          <w:rPr>
            <w:color w:val="0563C1"/>
            <w:u w:val="single"/>
          </w:rPr>
          <w:t>NABH SHCO Accreditation Programme page</w:t>
        </w:r>
      </w:hyperlink>
      <w:r>
        <w:t>. Care of Patients chapter, standard COP.9.</w:t>
      </w:r>
    </w:p>
    <w:tbl>
      <w:tblPr>
        <w:tblStyle w:val="TableGrid"/>
        <w:tblW w:type="auto" w:w="0"/>
        <w:tblLook w:firstColumn="1" w:firstRow="1" w:lastColumn="0" w:lastRow="0" w:noHBand="0" w:noVBand="1" w:val="04A0"/>
      </w:tblPr>
      <w:tblGrid>
        <w:gridCol w:w="8640"/>
      </w:tblGrid>
      <w:tr>
        <w:tc>
          <w:tcPr>
            <w:tcW w:type="dxa" w:w="8640"/>
          </w:tcPr>
          <w:p>
            <w:r>
              <w:rPr>
                <w:b/>
              </w:rPr>
              <w:t>What is this record, in plain terms?</w:t>
            </w:r>
          </w:p>
          <w:p>
            <w:r>
              <w:t>A record proving all six required parameters -- not a convenient subset -- were actually watched and written down throughout the procedure.</w:t>
            </w:r>
          </w:p>
        </w:tc>
      </w:tr>
    </w:tbl>
    <w:p/>
    <w:tbl>
      <w:tblPr>
        <w:tblStyle w:val="TableGrid"/>
        <w:tblW w:type="auto" w:w="0"/>
        <w:tblLook w:firstColumn="1" w:firstRow="1" w:lastColumn="0" w:lastRow="0" w:noHBand="0" w:noVBand="1" w:val="04A0"/>
      </w:tblPr>
      <w:tblGrid>
        <w:gridCol w:w="8640"/>
      </w:tblGrid>
      <w:tr>
        <w:tc>
          <w:tcPr>
            <w:tcW w:type="dxa" w:w="8640"/>
          </w:tcPr>
          <w:p>
            <w:r>
              <w:rPr>
                <w:b/>
              </w:rPr>
              <w:t>A real example of when you'd use this</w:t>
            </w:r>
          </w:p>
          <w:p>
            <w:r>
              <w:t>During an endoscopy under moderate sedation, this record is filled in at the hospital's defined interval, showing heart rate, rhythm, respiratory rate, blood pressure, oxygen saturation and level of sedation together, not just an oximetry trace.</w:t>
            </w:r>
          </w:p>
        </w:tc>
      </w:tr>
    </w:tbl>
    <w:p/>
    <w:tbl>
      <w:tblPr>
        <w:tblStyle w:val="TableGrid"/>
        <w:tblW w:type="auto" w:w="0"/>
        <w:tblLook w:firstColumn="1" w:firstRow="1" w:lastColumn="0" w:lastRow="0" w:noHBand="0" w:noVBand="1" w:val="04A0"/>
      </w:tblPr>
      <w:tblGrid>
        <w:gridCol w:w="8640"/>
      </w:tblGrid>
      <w:tr>
        <w:tc>
          <w:tcPr>
            <w:tcW w:type="dxa" w:w="8640"/>
          </w:tcPr>
          <w:p>
            <w:r>
              <w:rPr>
                <w:b/>
              </w:rPr>
              <w:t>Why does NABH ask for this?</w:t>
            </w:r>
          </w:p>
          <w:p>
            <w:r>
              <w:t>NABH requires intra-procedure monitoring to include at a minimum the heart rate, cardiac rhythm, respiratory rate, blood pressure, oxygen saturation and level of sedation -- a Commitment requirement naming all six.</w:t>
            </w:r>
          </w:p>
        </w:tc>
      </w:tr>
    </w:tbl>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rPr>
          <w:cantSplit/>
        </w:trPr>
        <w:tc>
          <w:tcPr>
            <w:tcW w:type="dxa" w:w="1234"/>
          </w:tcPr>
          <w:p>
            <w:r>
              <w:t>Time</w:t>
            </w:r>
          </w:p>
        </w:tc>
        <w:tc>
          <w:tcPr>
            <w:tcW w:type="dxa" w:w="1234"/>
          </w:tcPr>
          <w:p>
            <w:r>
              <w:t>Heart Rate</w:t>
            </w:r>
          </w:p>
        </w:tc>
        <w:tc>
          <w:tcPr>
            <w:tcW w:type="dxa" w:w="1234"/>
          </w:tcPr>
          <w:p>
            <w:r>
              <w:t>Cardiac Rhythm</w:t>
            </w:r>
          </w:p>
        </w:tc>
        <w:tc>
          <w:tcPr>
            <w:tcW w:type="dxa" w:w="1234"/>
          </w:tcPr>
          <w:p>
            <w:r>
              <w:t>Respiratory Rate</w:t>
            </w:r>
          </w:p>
        </w:tc>
        <w:tc>
          <w:tcPr>
            <w:tcW w:type="dxa" w:w="1234"/>
          </w:tcPr>
          <w:p>
            <w:r>
              <w:t>Blood Pressure</w:t>
            </w:r>
          </w:p>
        </w:tc>
        <w:tc>
          <w:tcPr>
            <w:tcW w:type="dxa" w:w="1234"/>
          </w:tcPr>
          <w:p>
            <w:r>
              <w:t>Oxygen Saturation</w:t>
            </w:r>
          </w:p>
        </w:tc>
        <w:tc>
          <w:tcPr>
            <w:tcW w:type="dxa" w:w="1234"/>
          </w:tcPr>
          <w:p>
            <w:r>
              <w:t>Level of Sedation</w:t>
            </w:r>
          </w:p>
        </w:tc>
      </w:tr>
      <w:tr>
        <w:trPr>
          <w:cantSplit/>
        </w:trPr>
        <w:tc>
          <w:tcPr>
            <w:tcW w:type="dxa" w:w="1234"/>
            <w:shd w:val="clear" w:color="auto" w:fill="FFF2CC"/>
          </w:tcPr>
          <w:p>
            <w:r/>
          </w:p>
        </w:tc>
        <w:tc>
          <w:tcPr>
            <w:tcW w:type="dxa" w:w="1234"/>
            <w:shd w:val="clear" w:color="auto" w:fill="FFF2CC"/>
          </w:tcPr>
          <w:p>
            <w:r/>
          </w:p>
        </w:tc>
        <w:tc>
          <w:tcPr>
            <w:tcW w:type="dxa" w:w="1234"/>
            <w:shd w:val="clear" w:color="auto" w:fill="FFF2CC"/>
          </w:tcPr>
          <w:p>
            <w:r/>
          </w:p>
        </w:tc>
        <w:tc>
          <w:tcPr>
            <w:tcW w:type="dxa" w:w="1234"/>
            <w:shd w:val="clear" w:color="auto" w:fill="FFF2CC"/>
          </w:tcPr>
          <w:p>
            <w:r/>
          </w:p>
        </w:tc>
        <w:tc>
          <w:tcPr>
            <w:tcW w:type="dxa" w:w="1234"/>
            <w:shd w:val="clear" w:color="auto" w:fill="FFF2CC"/>
          </w:tcPr>
          <w:p>
            <w:r/>
          </w:p>
        </w:tc>
        <w:tc>
          <w:tcPr>
            <w:tcW w:type="dxa" w:w="1234"/>
            <w:shd w:val="clear" w:color="auto" w:fill="FFF2CC"/>
          </w:tcPr>
          <w:p>
            <w:r/>
          </w:p>
        </w:tc>
        <w:tc>
          <w:tcPr>
            <w:tcW w:type="dxa" w:w="1234"/>
            <w:shd w:val="clear" w:color="auto" w:fill="FFF2CC"/>
          </w:tcPr>
          <w:p>
            <w:r/>
          </w:p>
        </w:tc>
      </w:tr>
      <w:tr>
        <w:trPr>
          <w:cantSplit/>
        </w:trPr>
        <w:tc>
          <w:tcPr>
            <w:tcW w:type="dxa" w:w="1234"/>
            <w:shd w:val="clear" w:color="auto" w:fill="FFF2CC"/>
          </w:tcPr>
          <w:p>
            <w:r>
              <w:t>09:55</w:t>
            </w:r>
          </w:p>
        </w:tc>
        <w:tc>
          <w:tcPr>
            <w:tcW w:type="dxa" w:w="1234"/>
            <w:shd w:val="clear" w:color="auto" w:fill="FFF2CC"/>
          </w:tcPr>
          <w:p>
            <w:r>
              <w:t>82/min</w:t>
            </w:r>
          </w:p>
        </w:tc>
        <w:tc>
          <w:tcPr>
            <w:tcW w:type="dxa" w:w="1234"/>
            <w:shd w:val="clear" w:color="auto" w:fill="FFF2CC"/>
          </w:tcPr>
          <w:p>
            <w:r>
              <w:t>Regular sinus</w:t>
            </w:r>
          </w:p>
        </w:tc>
        <w:tc>
          <w:tcPr>
            <w:tcW w:type="dxa" w:w="1234"/>
            <w:shd w:val="clear" w:color="auto" w:fill="FFF2CC"/>
          </w:tcPr>
          <w:p>
            <w:r>
              <w:t>16/min</w:t>
            </w:r>
          </w:p>
        </w:tc>
        <w:tc>
          <w:tcPr>
            <w:tcW w:type="dxa" w:w="1234"/>
            <w:shd w:val="clear" w:color="auto" w:fill="FFF2CC"/>
          </w:tcPr>
          <w:p>
            <w:r>
              <w:t>118/76 mmHg</w:t>
            </w:r>
          </w:p>
        </w:tc>
        <w:tc>
          <w:tcPr>
            <w:tcW w:type="dxa" w:w="1234"/>
            <w:shd w:val="clear" w:color="auto" w:fill="FFF2CC"/>
          </w:tcPr>
          <w:p>
            <w:r>
              <w:t>98%</w:t>
            </w:r>
          </w:p>
        </w:tc>
        <w:tc>
          <w:tcPr>
            <w:tcW w:type="dxa" w:w="1234"/>
            <w:shd w:val="clear" w:color="auto" w:fill="FFF2CC"/>
          </w:tcPr>
          <w:p>
            <w:r>
              <w:t>Moderate, responsive to voice</w:t>
            </w:r>
          </w:p>
        </w:tc>
      </w:tr>
      <w:tr>
        <w:trPr>
          <w:cantSplit/>
        </w:trP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rPr>
          <w:cantSplit/>
        </w:trP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rPr>
          <w:cantSplit/>
        </w:trP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rPr>
          <w:cantSplit/>
        </w:trP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rPr>
          <w:cantSplit/>
        </w:trP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rPr>
          <w:cantSplit/>
        </w:trP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rPr>
          <w:cantSplit/>
        </w:trP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abh.co/programmes/small-healthcare-organisation-shco-accreditation-program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