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COP.9.e — Post-procedure monitoring and objective discharge from recovery</w:t>
      </w:r>
    </w:p>
    <w:p>
      <w:r>
        <w:t>COP.9 Record 6 — Post-procedure recovery and objective discharge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Time in Recovery: Time the patient entered the recovery area.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Recovery Observations: Observations continued in recovery, per hospital's defined set.</w:t>
      </w:r>
    </w:p>
    <w:p>
      <w:pPr>
        <w:pStyle w:val="ListParagraph"/>
      </w:pPr>
      <w:r>
        <w:t>Objective Discharge Criteria Met? (Y/N, time): Whether and when the criteria were met.</w:t>
      </w:r>
    </w:p>
    <w:p>
      <w:pPr>
        <w:pStyle w:val="ListParagraph"/>
      </w:pPr>
      <w:r>
        <w:t>Discharged By: Person who judged and recorded discharge.</w:t>
      </w:r>
    </w:p>
    <w:p>
      <w:pPr>
        <w:pStyle w:val="ListParagraph"/>
      </w:pPr>
      <w:r>
        <w:t>Destination: Ward / day-care discharge home / other, per hospital's onward process.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a sedated patient left the recovery area because they actually met the objective criteria -- not because the theatre list had moved on to the next case.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After an endoscopy under moderate sedation, the patient is observed in recovery until the hospital's objective criteria are met at 10:35 a.m., not discharged at 10:15 because the next patient is waiting.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post-procedure monitoring to be documented and patients to be discharged from the recovery area based on objective criteria -- a Commitment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Time in Recovery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Recovery Observations</w:t>
            </w:r>
          </w:p>
        </w:tc>
        <w:tc>
          <w:tcPr>
            <w:tcW w:type="dxa" w:w="1440"/>
          </w:tcPr>
          <w:p>
            <w:r>
              <w:t>Objective Discharge Criteria Met? (Y/N, time)</w:t>
            </w:r>
          </w:p>
        </w:tc>
        <w:tc>
          <w:tcPr>
            <w:tcW w:type="dxa" w:w="1440"/>
          </w:tcPr>
          <w:p>
            <w:r>
              <w:t>Discharged By</w:t>
            </w:r>
          </w:p>
        </w:tc>
        <w:tc>
          <w:tcPr>
            <w:tcW w:type="dxa" w:w="1440"/>
          </w:tcPr>
          <w:p>
            <w:r>
              <w:t>Destination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10:10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UHID-00512</w:t>
            </w:r>
          </w:p>
        </w:tc>
        <w:tc>
          <w:tcPr>
            <w:tcW w:type="dxa" w:w="1440"/>
            <w:shd w:val="clear" w:color="auto" w:fill="FFF2CC"/>
          </w:tcPr>
          <w:p>
            <w:r>
              <w:t>Fully awake, stable vitals, tolerating oral fluids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10:35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In-Charge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Day-care discharge area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