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Paediatric and Neonatal Services</w:t>
      </w:r>
    </w:p>
    <w:p>
      <w:r>
        <w:t>«Hospital Name» — SOP-COP.8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SOP-COP.8</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paediatric and neonatal services are organised honestly against what the hospital can actually deliver; how neonatal care follows a named guideline; how age-specific competency gates every assignment; what special-care provisions children actually receive; how nutrition, growth, development and immunisation are assessed at every paediatric encounter; and how the hospital matches every neonate to the right mother and responds immediately to a missing child or suspected abuse.</w:t>
            </w:r>
          </w:p>
        </w:tc>
      </w:tr>
    </w:tbl>
    <w:p/>
    <w:tbl>
      <w:tblPr>
        <w:tblStyle w:val="TableGrid"/>
        <w:tblW w:type="auto" w:w="0"/>
        <w:tblLook w:firstColumn="1" w:firstRow="1" w:lastColumn="0" w:lastRow="0" w:noHBand="0" w:noVBand="1" w:val="04A0"/>
      </w:tblPr>
      <w:tblGrid>
        <w:gridCol w:w="8640"/>
      </w:tblGrid>
      <w:tr>
        <w:tc>
          <w:tcPr>
            <w:tcW w:type="dxa" w:w="8640"/>
          </w:tcPr>
          <w:p>
            <w:r>
              <w:t>Someone unfamiliar approaches the nursery to collect a newborn. This SOP is what requires staff to challenge that person and match the neonate to the mother or designated guardian before handover -- never handing a baby to whoever is simply standing closest to the cot.</w:t>
            </w:r>
          </w:p>
        </w:tc>
      </w:tr>
    </w:tbl>
    <w:p/>
    <w:tbl>
      <w:tblPr>
        <w:tblStyle w:val="TableGrid"/>
        <w:tblW w:type="auto" w:w="0"/>
        <w:tblLook w:firstColumn="1" w:firstRow="1" w:lastColumn="0" w:lastRow="0" w:noHBand="0" w:noVBand="1" w:val="04A0"/>
      </w:tblPr>
      <w:tblGrid>
        <w:gridCol w:w="8640"/>
      </w:tblGrid>
      <w:tr>
        <w:tc>
          <w:tcPr>
            <w:tcW w:type="dxa" w:w="8640"/>
          </w:tcPr>
          <w:p>
            <w:r>
              <w:t>We do this because a neonate handed to whoever is standing closest to the cot, or a missing-child report that waits for staff to 'check again,' is exactly the failure this SOP exists to make impossible -- and professional registration alone does not make someone competent to care for a neonate; that competency has to be specifically verified.</w:t>
            </w:r>
          </w:p>
        </w:tc>
      </w:tr>
    </w:tbl>
    <w:p/>
    <w:p>
      <w:r>
        <w:t>To define how paediatric and neonatal services are organised against actual capability; how neonatal care follows a named guideline; age-specific competency; special-care provisions; nutrition/growth/development/immunisation assessment; and abduction and abuse prevention and response.</w:t>
      </w:r>
    </w:p>
    <w:p>
      <w:pPr>
        <w:pStyle w:val="Heading1"/>
      </w:pPr>
      <w:r>
        <w:t>2. Scope</w:t>
      </w:r>
    </w:p>
    <w:p>
      <w:r>
        <w:t>so every location that cares for a child or neonate -- OPD, ward, nursery, labour room, emergency -- follows the same identification and safety standard.</w:t>
      </w:r>
    </w:p>
    <w:p>
      <w:r>
        <w:t>Applies to every location where the hospital cares for a child or neonate: the paediatric out-patient clinic, the paediatric ward or designated paediatric beds, the nursery or neonatal area, the labour room and postnatal ward insofar as the neonate is under care after birth, the emergency area when a child or neonate presents, and any procedure or day-care area that accepts a paediatric patient.</w:t>
      </w:r>
    </w:p>
    <w:p>
      <w:pPr>
        <w:pStyle w:val="Heading1"/>
      </w:pPr>
      <w:r>
        <w:t>3. Responsibility</w:t>
      </w:r>
    </w:p>
    <w:p>
      <w:r>
        <w:t>a child handed to the wrong person, or a missing child whose report waits for certainty, is a failure measured in minutes, not meetings.</w:t>
      </w:r>
    </w:p>
    <w:p>
      <w:r>
        <w:rPr>
          <w:b/>
        </w:rPr>
        <w:t xml:space="preserve">Person in Charge of Paediatric Services: </w:t>
      </w:r>
      <w:r>
        <w:t>Keeps the paediatric/neonatal scope and written guidance current, names the neonatal guideline set, and holds the abduction-prevention and abuse-response methods.</w:t>
      </w:r>
    </w:p>
    <w:p>
      <w:r>
        <w:rPr>
          <w:b/>
        </w:rPr>
        <w:t xml:space="preserve">Clinicians and Nurses Who Care for Children: </w:t>
      </w:r>
      <w:r>
        <w:t>Apply the two identifiers and neonate-matching, apply the named neonatal guideline, complete the four-part paediatric assessment, and never hand a child to an unidentified person.</w:t>
      </w:r>
    </w:p>
    <w:p>
      <w:r>
        <w:rPr>
          <w:b/>
        </w:rPr>
        <w:t xml:space="preserve">Human Resource Function: </w:t>
      </w:r>
      <w:r>
        <w:t>Verifies age-specific paediatric/neonatal competency before any assignment and informs the person in charge of any lapse.</w:t>
      </w:r>
    </w:p>
    <w:p>
      <w:r>
        <w:rPr>
          <w:b/>
        </w:rPr>
        <w:t xml:space="preserve">All Staff in Paediatric/Neonatal/Labour/Postnatal Areas: </w:t>
      </w:r>
      <w:r>
        <w:t>Challenge an unidentified person before letting them near a child or neonate, and immediately escalate a missing child or a suspected-abuse concern -- never wait for certainty.</w:t>
      </w:r>
    </w:p>
    <w:p>
      <w:r>
        <w:rPr>
          <w:b/>
        </w:rPr>
        <w:t xml:space="preserve">Quality/Accreditation Coordinator: </w:t>
      </w:r>
      <w:r>
        <w:t>Audits scope alignment, identification/matching, neonatal-guideline consonance, competency assignment, special-care provisions, paediatric assessment completeness, and abduction/abuse records on the defined interval.</w:t>
      </w:r>
    </w:p>
    <w:p>
      <w:pPr>
        <w:pStyle w:val="Heading1"/>
      </w:pPr>
      <w:r>
        <w:t>4. What to do</w:t>
      </w:r>
    </w:p>
    <w:p>
      <w:pPr>
        <w:pStyle w:val="Heading2"/>
      </w:pPr>
      <w:r>
        <w:t>Organisation of paediatric services</w:t>
      </w:r>
    </w:p>
    <w:p>
      <w:r>
        <w:t>A paediatric service that never says what it can't do forces a duty doctor to improvise at 2 a.m. instead of following a written plan.</w:t>
      </w:r>
    </w:p>
    <w:p>
      <w:r>
        <w:t>The hospital's defined paediatric and neonatal scope of services names five things:</w:t>
      </w:r>
    </w:p>
    <w:p>
      <w:r>
        <w:t>1. The age range accepted.</w:t>
      </w:r>
    </w:p>
    <w:p>
      <w:r>
        <w:t>2. Whether, and at what level, neonates are cared for.</w:t>
      </w:r>
    </w:p>
    <w:p>
      <w:r>
        <w:t>3. Hours of availability.</w:t>
      </w:r>
    </w:p>
    <w:p>
      <w:r>
        <w:t>4. Conditions/procedures provided.</w:t>
      </w:r>
    </w:p>
    <w:p>
      <w:r>
        <w:t>5. Conditions stabilised and referred, with the destination.</w:t>
      </w:r>
    </w:p>
    <w:p>
      <w:r>
        <w:t>This scope is kept aligned with the hospital's service directory; a service not provided is named as not provided, with the referral destination.</w:t>
      </w:r>
    </w:p>
    <w:p>
      <w:r>
        <w:t>The hospital's defined paediatric and neonatal care areas and backing equipment are followed; adult equipment used on a child because the paediatric size is missing is treated as a defect, not a workaround.</w:t>
      </w:r>
    </w:p>
    <w:p>
      <w:r>
        <w:t>A child whose needs exceed the paediatric scope is stabilised and referred, with the decision, reason and destination recorded -- never held because transfer is inconvenient.</w:t>
      </w:r>
    </w:p>
    <w:p>
      <w:pPr>
        <w:pStyle w:val="Heading2"/>
      </w:pPr>
      <w:r>
        <w:t>Neonatal care in consonance with a named guideline</w:t>
      </w:r>
    </w:p>
    <w:p>
      <w:r>
        <w:t>A laminated WHO poster on the nursery wall is not a guideline being followed -- if staff can't name which guideline governs their practice, they aren't practising in consonance with one.</w:t>
      </w:r>
    </w:p>
    <w:p>
      <w:r>
        <w:t>The hospital's named national or international neonatal-care guideline set is the set staff can actually name and produce, not a general claim to 'follow national guidelines.'</w:t>
      </w:r>
    </w:p>
    <w:p>
      <w:r>
        <w:t>The hospital's defined level of neonatal care provided -- routine newborn care, care of the sick neonate, or a stated limit -- and what is referred, matches the paediatric and neonatal scope; a level the guideline set and staffing cannot support is never claimed.</w:t>
      </w:r>
    </w:p>
    <w:p>
      <w:r>
        <w:t>Every neonate's care is recorded against the hospital's written local neonatal method derived from the named guideline, not left to whoever happens to be on duty that shift.</w:t>
      </w:r>
    </w:p>
    <w:p>
      <w:pPr>
        <w:pStyle w:val="Heading2"/>
      </w:pPr>
      <w:r>
        <w:t>Age-specific competency of those who care for children</w:t>
      </w:r>
    </w:p>
    <w:p>
      <w:r>
        <w:t>Professional registration alone does not make someone competent to care for a neonate -- that competency has to be specifically verified for the age group they're assigned to.</w:t>
      </w:r>
    </w:p>
    <w:p>
      <w:r>
        <w:t>The hospital's defined roles requiring age-specific paediatric or neonatal competency, and how that competency is demonstrated and recorded, is checked before anyone is assigned to care for a child or neonate.</w:t>
      </w:r>
    </w:p>
    <w:p>
      <w:r>
        <w:t>A person without the required age-specific competency is never assigned as the carer of that age group, even temporarily.</w:t>
      </w:r>
    </w:p>
    <w:p>
      <w:r>
        <w:t>The hospital's defined cover arrangement is used when a competent person is absent, rather than assigning whoever is available.</w:t>
      </w:r>
    </w:p>
    <w:p>
      <w:pPr>
        <w:pStyle w:val="Heading2"/>
      </w:pPr>
      <w:r>
        <w:t>Provisions for special care of children</w:t>
      </w:r>
    </w:p>
    <w:p>
      <w:r>
        <w:t>A child left in an unmodified adult ward, with no family presence and no age-appropriate equipment, is being treated as a small adult -- which is exactly what this step exists to prevent.</w:t>
      </w:r>
    </w:p>
    <w:p>
      <w:r>
        <w:t>The hospital's defined provisions for special care of children are actually provided, not just written down. These cover at least five things:</w:t>
      </w:r>
    </w:p>
    <w:p>
      <w:r>
        <w:t>1. The environment.</w:t>
      </w:r>
    </w:p>
    <w:p>
      <w:r>
        <w:t>2. Family presence.</w:t>
      </w:r>
    </w:p>
    <w:p>
      <w:r>
        <w:t>3. Feeding.</w:t>
      </w:r>
    </w:p>
    <w:p>
      <w:r>
        <w:t>4. Play or occupation.</w:t>
      </w:r>
    </w:p>
    <w:p>
      <w:r>
        <w:t>5. Privacy.</w:t>
      </w:r>
    </w:p>
    <w:p>
      <w:r>
        <w:t>Plus any other age-appropriate arrangement the hospital has defined.</w:t>
      </w:r>
    </w:p>
    <w:p>
      <w:r>
        <w:t>Where a child is placed in an adult ward because no dedicated paediatric ward exists, the provisions that still apply -- identification, family presence, age-appropriate equipment, and the abduction/abuse measures -- remain in force.</w:t>
      </w:r>
    </w:p>
    <w:p>
      <w:r>
        <w:t>Special-care provisions are checked periodically to confirm they are in actual use, not only on paper.</w:t>
      </w:r>
    </w:p>
    <w:p>
      <w:pPr>
        <w:pStyle w:val="Heading2"/>
      </w:pPr>
      <w:r>
        <w:t>Nutritional, growth, developmental and immunisation assessment</w:t>
      </w:r>
    </w:p>
    <w:p>
      <w:r>
        <w:t>A child's growth curve, developmental milestones, and immunisation status are clinical findings, not optional extras to the main reason they came in.</w:t>
      </w:r>
    </w:p>
    <w:p>
      <w:r>
        <w:t>Every paediatric assessment includes the hospital's defined tools for nutritional, growth, developmental and immunisation assessment, and the age groups to which each applies, recorded against the patient's unique identification number.</w:t>
      </w:r>
    </w:p>
    <w:p>
      <w:r>
        <w:t>A finding that requires action -- faltering growth, a missed immunisation, a developmental concern, nutritional risk -- is written into the care plan, not just noted and left there.</w:t>
      </w:r>
    </w:p>
    <w:p>
      <w:r>
        <w:t>Where the encounter is a brief emergency presentation, any element that cannot be completed is recorded as not done, with the reason, rather than left blank as if it had been done.</w:t>
      </w:r>
    </w:p>
    <w:p>
      <w:pPr>
        <w:pStyle w:val="Heading2"/>
      </w:pPr>
      <w:r>
        <w:t>Prevention of and response to child/neonate abduction and abuse</w:t>
      </w:r>
    </w:p>
    <w:p>
      <w:r>
        <w:t>A neonate handed to whoever is standing closest to the cot, or a missing-child report that waits for staff to 'check again,' is exactly the failure this step exists to make impossible.</w:t>
      </w:r>
    </w:p>
    <w:p>
      <w:r>
        <w:t>Every neonate is matched to the mother or designated guardian using the hospital's defined matching method in addition to the hospital's two identifiers -- a neonate is handed only to the matched mother/guardian, or to staff for a documented clinical reason, never to whoever is standing by the cot.</w:t>
      </w:r>
    </w:p>
    <w:p>
      <w:r>
        <w:t>A child is never handed to a person who has not been identified as entitled to take that child; access to the nursery and any restricted paediatric area follows the hospital's defined access-control rules, and staff challenge any unidentified person before they reach a child.</w:t>
      </w:r>
    </w:p>
    <w:p>
      <w:r>
        <w:t>If a child or neonate is missing, or an abduction attempt is suspected, the response is immediate and follows the hospital's defined missing-child response; when abuse or neglect is suspected, the concern is escalated and reported under the Juvenile Justice (Care and Protection of Children) Act, 2015 and, where a sexual offence is suspected, additionally under the Protection of Children from Sexual Offences Act, 2012 -- certainty is never the threshold for making that report.</w:t>
      </w:r>
    </w:p>
    <w:p>
      <w:pPr>
        <w:pStyle w:val="Heading1"/>
      </w:pPr>
      <w:r>
        <w:t>5. Records</w:t>
      </w:r>
    </w:p>
    <w:p>
      <w:r>
        <w:t>This SOP produces and maintains Records 1-6 (see the COP.8 Records folder).</w:t>
      </w:r>
    </w:p>
    <w:p>
      <w:pPr>
        <w:pStyle w:val="Heading1"/>
      </w:pPr>
      <w:r>
        <w:t>6. Related SOPs</w:t>
      </w:r>
    </w:p>
    <w:p>
      <w:pPr>
        <w:pStyle w:val="ListParagraph"/>
      </w:pPr>
      <w:r>
        <w:t>Policy on Paediatric and Neonatal Services (COP.8)</w:t>
      </w:r>
    </w:p>
    <w:p>
      <w:pPr>
        <w:pStyle w:val="ListParagraph"/>
      </w:pPr>
      <w:r>
        <w:t>SOP — Safe Obstetric Care (COP.7)</w:t>
      </w:r>
    </w:p>
    <w:p>
      <w:pPr>
        <w:pStyle w:val="ListParagraph"/>
      </w:pPr>
      <w:r>
        <w:t>Hospital's Uniform-Care SOP (two identifiers) (COP.1)</w:t>
      </w:r>
    </w:p>
    <w:p>
      <w:pPr>
        <w:pStyle w:val="Heading1"/>
      </w:pPr>
      <w:r>
        <w:t>7. Review</w:t>
      </w:r>
    </w:p>
    <w:p>
      <w:r>
        <w:t>This SOP is reviewed annually, or sooner if a mismatched neonate, a missing child, a suspected-abuse case, or a late neonatal referral exposes a gap, or if the obstetric, assessment, discharge, infection-control or facility processes this SOP hands work to are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Organisation of paediatric services — COP.8.a</w:t>
      </w:r>
    </w:p>
    <w:p>
      <w:pPr>
        <w:pStyle w:val="Heading2"/>
      </w:pPr>
      <w:r>
        <w:t>Neonatal care in consonance with a named guideline — COP.8.b</w:t>
      </w:r>
    </w:p>
    <w:p>
      <w:pPr>
        <w:pStyle w:val="Heading2"/>
      </w:pPr>
      <w:r>
        <w:t>Age-specific competency of those who care for children — COP.8.c</w:t>
      </w:r>
    </w:p>
    <w:p>
      <w:pPr>
        <w:pStyle w:val="Heading2"/>
      </w:pPr>
      <w:r>
        <w:t>Provisions for special care of children — COP.8.d</w:t>
      </w:r>
    </w:p>
    <w:p>
      <w:pPr>
        <w:pStyle w:val="Heading2"/>
      </w:pPr>
      <w:r>
        <w:t>Nutritional, growth, developmental and immunisation assessment — COP.8.e</w:t>
      </w:r>
    </w:p>
    <w:p>
      <w:pPr>
        <w:pStyle w:val="Heading2"/>
      </w:pPr>
      <w:r>
        <w:t>Prevention of and response to child/neonate abduction and abuse — COP.8.f</w:t>
      </w:r>
    </w:p>
    <w:p>
      <w:r>
        <w:rPr>
          <w:i/>
        </w:rPr>
        <w:t>Verified source(s):</w:t>
      </w:r>
    </w:p>
    <w:p>
      <w:pPr>
        <w:pStyle w:val="ListParagraph"/>
      </w:pPr>
      <w:r>
        <w:t xml:space="preserve">• </w:t>
      </w:r>
      <w:r>
        <w:t xml:space="preserve">Government of India. (2016). </w:t>
      </w:r>
      <w:hyperlink r:id="rId9">
        <w:r>
          <w:rPr>
            <w:color w:val="0563C1"/>
            <w:u w:val="single"/>
          </w:rPr>
          <w:t>The Juvenile Justice (Care and Protection of Children) Act, 2015</w:t>
        </w:r>
      </w:hyperlink>
      <w:r>
        <w:t xml:space="preserve"> (Act No. 2 of 2016, in force 15 January 2016), which defines a 'child in need of care and protection' (including a missing or run-away child), establishes the district Child Welfare Committee, and requires such a child to be produced before the Committee within 24 hours.</w:t>
      </w:r>
    </w:p>
    <w:p>
      <w:pPr>
        <w:pStyle w:val="ListParagraph"/>
      </w:pPr>
      <w:r>
        <w:t xml:space="preserve">• </w:t>
      </w:r>
      <w:r>
        <w:t xml:space="preserve">Government of India. (2012). </w:t>
      </w:r>
      <w:hyperlink r:id="rId10">
        <w:r>
          <w:rPr>
            <w:color w:val="0563C1"/>
            <w:u w:val="single"/>
          </w:rPr>
          <w:t>The Protection of Children from Sexual Offences Act, 2012</w:t>
        </w:r>
      </w:hyperlink>
      <w:r>
        <w:t xml:space="preserve"> (Act No. 32 of 2012), ss. 19 and 21, which require any person who knows or believes a sexual offence against a child is likely or has been committed to report it to the Special Juvenile Police Unit or local police, and make failure to report a punishable offence, including for a person in charge of an institution who fails to report an offence by a subordinate.</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1">
        <w:r>
          <w:rPr>
            <w:color w:val="0563C1"/>
            <w:u w:val="single"/>
          </w:rPr>
          <w:t>NABH SHCO Accreditation Programme page</w:t>
        </w:r>
      </w:hyperlink>
      <w:r>
        <w:t>. Care of Patients chapter, standard COP.8.</w:t>
      </w:r>
    </w:p>
    <w:p>
      <w:pPr>
        <w:pStyle w:val="ListParagraph"/>
      </w:pPr>
      <w:r>
        <w:t xml:space="preserve">• </w:t>
      </w:r>
      <w:r>
        <w:t xml:space="preserve">Government of India. (2016). </w:t>
      </w:r>
      <w:hyperlink r:id="rId9">
        <w:r>
          <w:rPr>
            <w:color w:val="0563C1"/>
            <w:u w:val="single"/>
          </w:rPr>
          <w:t>The Juvenile Justice (Care and Protection of Children) Act, 2015</w:t>
        </w:r>
      </w:hyperlink>
      <w:r>
        <w:t xml:space="preserve"> (Act No. 2 of 2016, in force 15 January 2016), which defines a 'child in need of care and protection' (including a missing or run-away child), establishes the district Child Welfare Committee, and requires such a child to be produced before the Committee within 24 hours.</w:t>
      </w:r>
    </w:p>
    <w:p>
      <w:pPr>
        <w:pStyle w:val="ListParagraph"/>
      </w:pPr>
      <w:r>
        <w:t xml:space="preserve">• </w:t>
      </w:r>
      <w:r>
        <w:t xml:space="preserve">Government of India. (2012). </w:t>
      </w:r>
      <w:hyperlink r:id="rId10">
        <w:r>
          <w:rPr>
            <w:color w:val="0563C1"/>
            <w:u w:val="single"/>
          </w:rPr>
          <w:t>The Protection of Children from Sexual Offences Act, 2012</w:t>
        </w:r>
      </w:hyperlink>
      <w:r>
        <w:t xml:space="preserve"> (Act No. 32 of 2012), ss. 19 and 21, which require any person who knows or believes a sexual offence against a child is likely or has been committed to report it to the Special Juvenile Police Unit or local police, and make failure to report a punishable offence, including for a person in charge of an institution who fails to report an offence by a subordinate.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ddashboard.legislative.gov.in/sites/default/files/A2016-2_0.pdf" TargetMode="External"/><Relationship Id="rId10" Type="http://schemas.openxmlformats.org/officeDocument/2006/relationships/hyperlink" Target="https://www.indiacode.nic.in/bitstream/123456789/14753/1/pocso.pdf" TargetMode="External"/><Relationship Id="rId11"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