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FMS.1.f — The organisation takes initiatives towards an energy-efficient and environment friendly hospital.</w:t>
      </w:r>
    </w:p>
    <w:p>
      <w:r>
        <w:t>FMS.1 Record 6 — Energy-efficient and environment-friendly initiative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this hospital's actual energy-efficiency and environment-friendly initiatives, each with a named owner, a baseline, and a measured result -- the chapter's asterisked, documented-evidence element, not a poster or a single retrofit claimed as the whole programme.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This hospital set back non-clinical-area HVAC by 2 degrees outside working hours; baseline monthly electricity use and post-initiative use are both logged, with the named facilities lead who owns the initiative.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an Excellence requirement where the organisation must show real initiatives with a measured baseline and result, not a certificate or a photograph.</w:t>
            </w:r>
          </w:p>
        </w:tc>
      </w:tr>
    </w:tbl>
    <w:p/>
    <w:p>
      <w:r>
        <w:t>How to fill this in — column by column</w:t>
      </w:r>
    </w:p>
    <w:p>
      <w:r>
        <w:t>Initiative: The specific energy or environment initiative run this year.</w:t>
      </w:r>
    </w:p>
    <w:p>
      <w:r>
        <w:t>Named Owner: Person accountable for this initiative.</w:t>
      </w:r>
    </w:p>
    <w:p>
      <w:r>
        <w:t>Baseline: Measured starting point (e.g. monthly kWh, water litres, waste volume).</w:t>
      </w:r>
    </w:p>
    <w:p>
      <w:r>
        <w:t>Result: Measured outcome after the initiative, with the comparison period.</w:t>
      </w:r>
    </w:p>
    <w:p>
      <w:r>
        <w:t>Review Date: When this initiative was last reviewed for continuation.</w:t>
      </w:r>
    </w:p>
    <w:p>
      <w:r>
        <w:t>Confirmed By: Quality/Accreditation Coordinator or named owner.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Dhillon, V. S., &amp; Kaur, D. (2015). </w:t>
      </w:r>
      <w:hyperlink r:id="rId9">
        <w:r>
          <w:rPr>
            <w:color w:val="0563C1"/>
            <w:u w:val="single"/>
          </w:rPr>
          <w:t>Green hospital and climate change: Their interrelationship and the way forward</w:t>
        </w:r>
      </w:hyperlink>
      <w:r>
        <w:t>. Journal of Clinical and Diagnostic Research.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Initiative</w:t>
            </w:r>
          </w:p>
        </w:tc>
        <w:tc>
          <w:tcPr>
            <w:tcW w:type="dxa" w:w="1440"/>
          </w:tcPr>
          <w:p>
            <w:r>
              <w:t>Named Owner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Review Date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Non-clinical HVAC set-back (2°C, outside working hours)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4,200 kWh/month (Jan 2026)</w:t>
            </w:r>
          </w:p>
        </w:tc>
        <w:tc>
          <w:tcPr>
            <w:tcW w:type="dxa" w:w="1440"/>
            <w:shd w:val="clear" w:color="auto" w:fill="FFF2CC"/>
          </w:tcPr>
          <w:p>
            <w:r>
              <w:t>3,780 kWh/month (Mar 2026), 10% reduction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01/04/2026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Quality Coordinator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cdr.net/ReadXMLFile.aspx?id=69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