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HIC.2.b — The organisation adheres to hand-hygiene guidelines.</w:t>
      </w:r>
    </w:p>
    <w:p>
      <w:r>
        <w:t>HIC.2 Record 02 — Hand-hygiene supply and signage verification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hand-rub and soap were actually available where they are needed and the five-moments poster was actually displayed -- the physical conditions the hand-hygiene protocol depends 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February round confirms ABHR dispensers are filled at every bed in the surgical ward and the five-moments poster is displayed at each station.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Hand hygiene done "when you remember" misses the moments that actually carry the highest risk of passing an organism from one patient to the next -- the five moments exist because they were tested, not guessed.</w:t>
            </w:r>
          </w:p>
        </w:tc>
      </w:tr>
    </w:tbl>
    <w:p/>
    <w:p>
      <w:r>
        <w:t>How to fill this in — column by column</w:t>
      </w:r>
    </w:p>
    <w:p>
      <w:r>
        <w:t>Date / Unit: When and where checked.</w:t>
      </w:r>
    </w:p>
    <w:p>
      <w:r>
        <w:t>ABHR / Soap Available (Y/N): Confirmed.</w:t>
      </w:r>
    </w:p>
    <w:p>
      <w:r>
        <w:t>Five-Moments Poster Displayed (Y/N): Confirmed.</w:t>
      </w:r>
    </w:p>
    <w:p>
      <w:r>
        <w:t>Issue Found / Action: Any gap and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(2009). </w:t>
      </w:r>
      <w:hyperlink r:id="rId9">
        <w:r>
          <w:rPr>
            <w:color w:val="0563C1"/>
            <w:u w:val="single"/>
          </w:rPr>
          <w:t>WHO guidelines on hand hygiene in health care</w:t>
        </w:r>
      </w:hyperlink>
      <w:r>
        <w:t>. Geneva: WHO -- the source of the five-moments method and the observation-audit approach this hospital's hand-hygiene protocol and surveillance are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 / Unit</w:t>
            </w:r>
          </w:p>
        </w:tc>
        <w:tc>
          <w:tcPr>
            <w:tcW w:type="dxa" w:w="2160"/>
          </w:tcPr>
          <w:p>
            <w:r>
              <w:t>ABHR / Soap Available (Y/N)</w:t>
            </w:r>
          </w:p>
        </w:tc>
        <w:tc>
          <w:tcPr>
            <w:tcW w:type="dxa" w:w="2160"/>
          </w:tcPr>
          <w:p>
            <w:r>
              <w:t>Five-Moments Poster Displayed (Y/N)</w:t>
            </w:r>
          </w:p>
        </w:tc>
        <w:tc>
          <w:tcPr>
            <w:tcW w:type="dxa" w:w="2160"/>
          </w:tcPr>
          <w:p>
            <w:r>
              <w:t>Issue Found / Action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10-Feb-2026 / Surgical Ward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97906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