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HIC.2.d — The organisation adheres to safe injection and infusion practices.</w:t>
      </w:r>
    </w:p>
    <w:p>
      <w:r>
        <w:t>HIC.2 Record 04 — Safe injection and infusion practice audit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safe-injection practice was actually observed in the clinical area -- single-use syringes, no manual recapping, correctly labelled multi-dose vials -- not assumed because a protocol exists.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An audit of the injection room finds one multi-dose vial unlabelled with its opening date, corrected on the spot, with no other deviations found.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Reusing a needle, recapping by hand, or leaving a multi-dose vial open past its safe window are small shortcuts that can pass bloodborne infection from one patient to another, or infect the staff member taking the shortcut.</w:t>
            </w:r>
          </w:p>
        </w:tc>
      </w:tr>
    </w:tbl>
    <w:p/>
    <w:p>
      <w:r>
        <w:t>How to fill this in — column by column</w:t>
      </w:r>
    </w:p>
    <w:p>
      <w:r>
        <w:t>Audit Date / Area: When and where.</w:t>
      </w:r>
    </w:p>
    <w:p>
      <w:r>
        <w:t>Items Checked: Syringe reuse, recapping, vial labelling, IV set change.</w:t>
      </w:r>
    </w:p>
    <w:p>
      <w:r>
        <w:t>Deviations Found: What was wrong, if anything.</w:t>
      </w:r>
    </w:p>
    <w:p>
      <w:r>
        <w:t>Corrective Action: What was done.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Audit Date / Area</w:t>
            </w:r>
          </w:p>
        </w:tc>
        <w:tc>
          <w:tcPr>
            <w:tcW w:type="dxa" w:w="2160"/>
          </w:tcPr>
          <w:p>
            <w:r>
              <w:t>Items Checked</w:t>
            </w:r>
          </w:p>
        </w:tc>
        <w:tc>
          <w:tcPr>
            <w:tcW w:type="dxa" w:w="2160"/>
          </w:tcPr>
          <w:p>
            <w:r>
              <w:t>Deviations Found</w:t>
            </w:r>
          </w:p>
        </w:tc>
        <w:tc>
          <w:tcPr>
            <w:tcW w:type="dxa" w:w="2160"/>
          </w:tcPr>
          <w:p>
            <w:r>
              <w:t>Corrective Action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05-Mar-2026 / Injection Room</w:t>
            </w:r>
          </w:p>
        </w:tc>
        <w:tc>
          <w:tcPr>
            <w:tcW w:type="dxa" w:w="2160"/>
            <w:shd w:val="clear" w:color="auto" w:fill="FFF2CC"/>
          </w:tcPr>
          <w:p>
            <w:r>
              <w:t>Syringe reuse, recapping, vial labelling</w:t>
            </w:r>
          </w:p>
        </w:tc>
        <w:tc>
          <w:tcPr>
            <w:tcW w:type="dxa" w:w="2160"/>
            <w:shd w:val="clear" w:color="auto" w:fill="FFF2CC"/>
          </w:tcPr>
          <w:p>
            <w:r>
              <w:t>One multi-dose vial unlabelled</w:t>
            </w:r>
          </w:p>
        </w:tc>
        <w:tc>
          <w:tcPr>
            <w:tcW w:type="dxa" w:w="2160"/>
            <w:shd w:val="clear" w:color="auto" w:fill="FFF2CC"/>
          </w:tcPr>
          <w:p>
            <w:r>
              <w:t>Labelled on the spot; staff reminded at handover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