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HIC.2.g — The organisation implements an antibiotic stewardship programme.</w:t>
      </w:r>
    </w:p>
    <w:p>
      <w:r>
        <w:t>HIC.2 Record 07 — Antibiotic stewardship round and annual outcome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stewardship rounds actually happened twice a week with real interventions, and that the programme's yearly impact was actually measured -- not a charter that was written and shelved.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stewardship round flags an unnecessarily prolonged course of a reserve antimicrobial, intervenes to stop it at day 5 instead of day 10, and the annual report shows a 12% drop in reserve-antimicrobial days of therapy.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policy on paper and occasional audits are not the same as someone actively reviewing real prescriptions in real time -- stewardship rounds catch the wrong antibiotic, the wrong dose, or the unnecessarily long course while it can still be corrected.</w:t>
            </w:r>
          </w:p>
        </w:tc>
      </w:tr>
    </w:tbl>
    <w:p/>
    <w:p>
      <w:r>
        <w:t>How to fill this in — column by column</w:t>
      </w:r>
    </w:p>
    <w:p>
      <w:r>
        <w:t>Round Date: When held.</w:t>
      </w:r>
    </w:p>
    <w:p>
      <w:r>
        <w:t>Cases Reviewed / Interventions Made: What was found and changed.</w:t>
      </w:r>
    </w:p>
    <w:p>
      <w:r>
        <w:t>Acceptance Rate: Prescriber acceptance of intervention.</w:t>
      </w:r>
    </w:p>
    <w:p>
      <w:r>
        <w:t>Annual DDD/DOT Trend (at year-end): Outcome measure.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Round Date</w:t>
            </w:r>
          </w:p>
        </w:tc>
        <w:tc>
          <w:tcPr>
            <w:tcW w:type="dxa" w:w="2160"/>
          </w:tcPr>
          <w:p>
            <w:r>
              <w:t>Cases Reviewed / Interventions Made</w:t>
            </w:r>
          </w:p>
        </w:tc>
        <w:tc>
          <w:tcPr>
            <w:tcW w:type="dxa" w:w="2160"/>
          </w:tcPr>
          <w:p>
            <w:r>
              <w:t>Acceptance Rate</w:t>
            </w:r>
          </w:p>
        </w:tc>
        <w:tc>
          <w:tcPr>
            <w:tcW w:type="dxa" w:w="2160"/>
          </w:tcPr>
          <w:p>
            <w:r>
              <w:t>Annual DDD/DOT Trend (at year-end)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12-Mar-2026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6 cases reviewed; 1 course shortened</w:t>
            </w:r>
          </w:p>
        </w:tc>
        <w:tc>
          <w:tcPr>
            <w:tcW w:type="dxa" w:w="2160"/>
            <w:shd w:val="clear" w:color="auto" w:fill="FFF2CC"/>
          </w:tcPr>
          <w:p>
            <w:r>
              <w:t>100% — intervention accepted</w:t>
            </w:r>
          </w:p>
        </w:tc>
        <w:tc>
          <w:tcPr>
            <w:tcW w:type="dxa" w:w="2160"/>
            <w:shd w:val="clear" w:color="auto" w:fill="FFF2CC"/>
          </w:tcPr>
          <w:p>
            <w:r>
              <w:t>12% reduction in reserve-antimicrobial DOT (year-end)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