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HIC.3.d — Biomedical waste (BMW) is handled appropriately and safely.</w:t>
      </w:r>
    </w:p>
    <w:p>
      <w:r>
        <w:t>HIC.3 Record 04 — Daily biomedical-waste segregation log and CBWTF handover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biomedical waste was actually segregated into the right colour categories every day, and actually handed over to the authorised treatment facility within the storage window -- not waste that sat unaccounted for.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daily log shows 4.2 kg of yellow-category waste and 1.1 kg of sharps collected and handed to the CBWTF collection vehicle within the 48-hour storage limit, with a signed manifest.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Mixing a used needle in with ordinary waste, or letting waste sit unsegregated past its safe storage window, turns an everyday bin into a sharps or infection hazard for the next person who handles it -- often someone with no idea what is inside.</w:t>
            </w:r>
          </w:p>
        </w:tc>
      </w:tr>
    </w:tbl>
    <w:p/>
    <w:p>
      <w:r>
        <w:t>How to fill this in — column by column</w:t>
      </w:r>
    </w:p>
    <w:p>
      <w:r>
        <w:t>Date: Day of collection.</w:t>
      </w:r>
    </w:p>
    <w:p>
      <w:r>
        <w:t>Category / Weight (Yellow/Red/White/Blue): Segregated amounts.</w:t>
      </w:r>
    </w:p>
    <w:p>
      <w:r>
        <w:t>Storage Duration (Hours): Within 48-hour limit.</w:t>
      </w:r>
    </w:p>
    <w:p>
      <w:r>
        <w:t>CBWTF Handover / Manifest No.: Collection confirmation.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Central Pollution Control Board, Ministry of Environment, Forest and Climate Change, Government of India. (2016). </w:t>
      </w:r>
      <w:hyperlink r:id="rId9">
        <w:r>
          <w:rPr>
            <w:color w:val="0563C1"/>
            <w:u w:val="single"/>
          </w:rPr>
          <w:t>Bio-Medical Waste Management Rules, 2016</w:t>
        </w:r>
      </w:hyperlink>
      <w:r>
        <w:t>, as amended. New Delhi: CPCB -- the legally binding colour-coded segregation and disposal scheme this hospital's biomedical-waste handling is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Category / Weight (Yellow/Red/White/Blue)</w:t>
            </w:r>
          </w:p>
        </w:tc>
        <w:tc>
          <w:tcPr>
            <w:tcW w:type="dxa" w:w="2160"/>
          </w:tcPr>
          <w:p>
            <w:r>
              <w:t>Storage Duration (Hours)</w:t>
            </w:r>
          </w:p>
        </w:tc>
        <w:tc>
          <w:tcPr>
            <w:tcW w:type="dxa" w:w="2160"/>
          </w:tcPr>
          <w:p>
            <w:r>
              <w:t>CBWTF Handover / Manifest No.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Yellow 4.2 kg; White (sharps) 1.1 kg</w:t>
            </w:r>
          </w:p>
        </w:tc>
        <w:tc>
          <w:tcPr>
            <w:tcW w:type="dxa" w:w="2160"/>
            <w:shd w:val="clear" w:color="auto" w:fill="FFF2CC"/>
          </w:tcPr>
          <w:p>
            <w:r>
              <w:t>22 hours</w:t>
            </w:r>
          </w:p>
        </w:tc>
        <w:tc>
          <w:tcPr>
            <w:tcW w:type="dxa" w:w="2160"/>
            <w:shd w:val="clear" w:color="auto" w:fill="FFF2CC"/>
          </w:tcPr>
          <w:p>
            <w:r>
              <w:t>Manifest #CB-2026-0314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pcb.nic.in/bio-medical/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