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HIC.5.b — Surveillance includes monitoring compliance with hand-hygiene guidelines.</w:t>
      </w:r>
    </w:p>
    <w:p>
      <w:r>
        <w:t>HIC.5 Record 02 — Hand-hygiene observation audit and feedback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hand-hygiene compliance was actually observed directly, by trained observers, and the result actually fed back to the unit within a week -- not an assumed percentage.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March audit of the surgical ward observes 60 hand-hygiene opportunities, finds 48 performed correctly (80% compliance), and shares the result with the unit lead within three days.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Asking staff whether they wash their hands produces an optimistic answer; actually observing hand-hygiene moments is what produces a number this hospital can trust and act on.</w:t>
            </w:r>
          </w:p>
        </w:tc>
      </w:tr>
    </w:tbl>
    <w:p/>
    <w:p>
      <w:r>
        <w:t>How to fill this in — column by column</w:t>
      </w:r>
    </w:p>
    <w:p>
      <w:r>
        <w:t>Audit Date / Unit: When and where.</w:t>
      </w:r>
    </w:p>
    <w:p>
      <w:r>
        <w:t>Opportunities Observed / Actions Performed: Raw counts.</w:t>
      </w:r>
    </w:p>
    <w:p>
      <w:r>
        <w:t>Compliance Rate: Calculated percentage.</w:t>
      </w:r>
    </w:p>
    <w:p>
      <w:r>
        <w:t>Feedback Given (Date): Within one week.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World Health Organization. (2009). </w:t>
      </w:r>
      <w:hyperlink r:id="rId9">
        <w:r>
          <w:rPr>
            <w:color w:val="0563C1"/>
            <w:u w:val="single"/>
          </w:rPr>
          <w:t>WHO guidelines on hand hygiene in health care</w:t>
        </w:r>
      </w:hyperlink>
      <w:r>
        <w:t>. Geneva: WHO -- the source of the five-moments method and the observation-audit approach this hospital's hand-hygiene protocol and surveillance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Audit Date / Unit</w:t>
            </w:r>
          </w:p>
        </w:tc>
        <w:tc>
          <w:tcPr>
            <w:tcW w:type="dxa" w:w="2160"/>
          </w:tcPr>
          <w:p>
            <w:r>
              <w:t>Opportunities Observed / Actions Performed</w:t>
            </w:r>
          </w:p>
        </w:tc>
        <w:tc>
          <w:tcPr>
            <w:tcW w:type="dxa" w:w="2160"/>
          </w:tcPr>
          <w:p>
            <w:r>
              <w:t>Compliance Rate</w:t>
            </w:r>
          </w:p>
        </w:tc>
        <w:tc>
          <w:tcPr>
            <w:tcW w:type="dxa" w:w="2160"/>
          </w:tcPr>
          <w:p>
            <w:r>
              <w:t>Feedback Given (Date)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10-Mar-2026 / Surgical Ward</w:t>
            </w:r>
          </w:p>
        </w:tc>
        <w:tc>
          <w:tcPr>
            <w:tcW w:type="dxa" w:w="2160"/>
            <w:shd w:val="clear" w:color="auto" w:fill="FFF2CC"/>
          </w:tcPr>
          <w:p>
            <w:r>
              <w:t>60 observed / 48 performed</w:t>
            </w:r>
          </w:p>
        </w:tc>
        <w:tc>
          <w:tcPr>
            <w:tcW w:type="dxa" w:w="2160"/>
            <w:shd w:val="clear" w:color="auto" w:fill="FFF2CC"/>
          </w:tcPr>
          <w:p>
            <w:r>
              <w:t>80%</w:t>
            </w:r>
          </w:p>
        </w:tc>
        <w:tc>
          <w:tcPr>
            <w:tcW w:type="dxa" w:w="2160"/>
            <w:shd w:val="clear" w:color="auto" w:fill="FFF2CC"/>
          </w:tcPr>
          <w:p>
            <w:r>
              <w:t>13-Mar-2026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97906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