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HIC.5.c — Surveillance includes mechanisms to capture the occurrence of multi-drug-resistant organisms and highly virulent infections.</w:t>
      </w:r>
    </w:p>
    <w:p>
      <w:r>
        <w:t>HIC.5 Record 03 — MDRO line-list and same-day notification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resistant organism result was actually flagged by the laboratory and actually reached the Infection Control Officer the same day -- not a result that sat in a report nobody read for a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CRE-positive culture from a ward patient is flagged by the laboratory at 2 PM and reaches the Infection Control Officer by 4 PM the same day, logged on the MDRO line-list with isolation initiated.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resistant organism that spreads silently for weeks before anyone notices is far harder to contain than one flagged and acted on the same day it is identified.</w:t>
            </w:r>
          </w:p>
        </w:tc>
      </w:tr>
    </w:tbl>
    <w:p/>
    <w:p>
      <w:r>
        <w:t>How to fill this in — column by column</w:t>
      </w:r>
    </w:p>
    <w:p>
      <w:r>
        <w:t>Patient / Date: Who and when.</w:t>
      </w:r>
    </w:p>
    <w:p>
      <w:r>
        <w:t>Organism / Resistance Pattern: What was found.</w:t>
      </w:r>
    </w:p>
    <w:p>
      <w:r>
        <w:t>Location: Ward or unit.</w:t>
      </w:r>
    </w:p>
    <w:p>
      <w:r>
        <w:t>Lab Flag Time / ICO Notified Time: Same-day confirmation.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Date</w:t>
            </w:r>
          </w:p>
        </w:tc>
        <w:tc>
          <w:tcPr>
            <w:tcW w:type="dxa" w:w="2160"/>
          </w:tcPr>
          <w:p>
            <w:r>
              <w:t>Organism / Resistance Pattern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Lab Flag Time / ICO Notified Time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UID-00541 / 14-Mar-2026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CRE (carbapenem-resistant Enterobacteriaceae)</w:t>
            </w:r>
          </w:p>
        </w:tc>
        <w:tc>
          <w:tcPr>
            <w:tcW w:type="dxa" w:w="2160"/>
            <w:shd w:val="clear" w:color="auto" w:fill="FFF2CC"/>
          </w:tcPr>
          <w:p>
            <w:r>
              <w:t>General Ward, Bed 7</w:t>
            </w:r>
          </w:p>
        </w:tc>
        <w:tc>
          <w:tcPr>
            <w:tcW w:type="dxa" w:w="2160"/>
            <w:shd w:val="clear" w:color="auto" w:fill="FFF2CC"/>
          </w:tcPr>
          <w:p>
            <w:r>
              <w:t>Flagged 2:00 PM / ICO notified 4:00 PM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