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HIC.5.e — Surveillance activities include monitoring the effectiveness of the housekeeping services.</w:t>
      </w:r>
    </w:p>
    <w:p>
      <w:r>
        <w:t>HIC.5 Record 05 — Objective housekeeping-effectiveness monitoring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housekeeping effectiveness was actually tested objectively -- ATP or microbiological swabs against a defined benchmark -- not judged only by whether a surface looks clean.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ATP testing on the ICU nursing station counter reads 180 RLU, within the 250 RLU benchmark; a corridor handrail reads 310 RLU, triggering re-cleaning and a repeat 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cleaning schedule that is followed to the letter can still leave a surface contaminated if the technique or the disinfectant is not actually doing the job -- objective testing is what tells the difference between "cleaned" and "clean".</w:t>
            </w:r>
          </w:p>
        </w:tc>
      </w:tr>
    </w:tbl>
    <w:p/>
    <w:p>
      <w:r>
        <w:t>How to fill this in — column by column</w:t>
      </w:r>
    </w:p>
    <w:p>
      <w:r>
        <w:t>Test Date / Area: When and where.</w:t>
      </w:r>
    </w:p>
    <w:p>
      <w:r>
        <w:t>Method (ATP/Microbiological): Which test.</w:t>
      </w:r>
    </w:p>
    <w:p>
      <w:r>
        <w:t>Result: Reading.</w:t>
      </w:r>
    </w:p>
    <w:p>
      <w:r>
        <w:t>Within Benchmark (Y/N) / Action: Confirmed and any re-clean.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Date / Area</w:t>
            </w:r>
          </w:p>
        </w:tc>
        <w:tc>
          <w:tcPr>
            <w:tcW w:type="dxa" w:w="2160"/>
          </w:tcPr>
          <w:p>
            <w:r>
              <w:t>Method (ATP/Microbiological)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Within Benchmark (Y/N) / 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15-Mar-2026 / Corridor handrail</w:t>
            </w:r>
          </w:p>
        </w:tc>
        <w:tc>
          <w:tcPr>
            <w:tcW w:type="dxa" w:w="2160"/>
            <w:shd w:val="clear" w:color="auto" w:fill="FFF2CC"/>
          </w:tcPr>
          <w:p>
            <w:r>
              <w:t>ATP</w:t>
            </w:r>
          </w:p>
        </w:tc>
        <w:tc>
          <w:tcPr>
            <w:tcW w:type="dxa" w:w="2160"/>
            <w:shd w:val="clear" w:color="auto" w:fill="FFF2CC"/>
          </w:tcPr>
          <w:p>
            <w:r>
              <w:t>310 RLU</w:t>
            </w:r>
          </w:p>
        </w:tc>
        <w:tc>
          <w:tcPr>
            <w:tcW w:type="dxa" w:w="2160"/>
            <w:shd w:val="clear" w:color="auto" w:fill="FFF2CC"/>
          </w:tcPr>
          <w:p>
            <w:r>
              <w:t>N — re-cleaned and re-tested; 2nd reading 140 RLU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