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HIC.5.f — Surveillance data is analysed, and appropriate corrective and preventive actions are taken and feedback regarding the same is provided regularly to the appropriate health care team.</w:t>
      </w:r>
    </w:p>
    <w:p>
      <w:r>
        <w:t>HIC.5 Record 06 — Monthly surveillance analysis, CAPA and feedback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rate that crossed its threshold actually triggered a root-cause analysis and a tracked corrective action, closed only once the rate itself improved -- not closed just because a meeting discussed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rising SSI rate in the orthopaedic unit triggers an RCA that finds inconsistent antibiotic-prophylaxis timing; a CAPA retrains the team on timing, and the rate is confirmed back within benchmark two months later before the CAPA is closed.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trend chart that is produced every month and never acted on is surveillance in name only -- the entire point of tracking a rate is to do something when it moves the wrong way.</w:t>
            </w:r>
          </w:p>
        </w:tc>
      </w:tr>
    </w:tbl>
    <w:p/>
    <w:p>
      <w:r>
        <w:t>How to fill this in — column by column</w:t>
      </w:r>
    </w:p>
    <w:p>
      <w:r>
        <w:t>Month: Which month's analysis.</w:t>
      </w:r>
    </w:p>
    <w:p>
      <w:r>
        <w:t>Finding (Threshold Exceeded / Trend): What was identified.</w:t>
      </w:r>
    </w:p>
    <w:p>
      <w:r>
        <w:t>CAPA / Owner / Target Date: Action and accountability.</w:t>
      </w:r>
    </w:p>
    <w:p>
      <w:r>
        <w:t>Closure Confirmed (Rate Improved, Date): Verified outcome.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Finding (Threshold Exceeded / Trend)</w:t>
            </w:r>
          </w:p>
        </w:tc>
        <w:tc>
          <w:tcPr>
            <w:tcW w:type="dxa" w:w="2160"/>
          </w:tcPr>
          <w:p>
            <w:r>
              <w:t>CAPA / Owner / Target Date</w:t>
            </w:r>
          </w:p>
        </w:tc>
        <w:tc>
          <w:tcPr>
            <w:tcW w:type="dxa" w:w="2160"/>
          </w:tcPr>
          <w:p>
            <w:r>
              <w:t>Closure Confirmed (Rate Improved, Date)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Feb 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SSI rate rising in orthopaedics</w:t>
            </w:r>
          </w:p>
        </w:tc>
        <w:tc>
          <w:tcPr>
            <w:tcW w:type="dxa" w:w="2160"/>
            <w:shd w:val="clear" w:color="auto" w:fill="FFF2CC"/>
          </w:tcPr>
          <w:p>
            <w:r>
              <w:t>Retrain on prophylaxis timing; Infection Control Nurse / 15-Mar-2026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Confirmed improved — 10-May-2026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