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Standard Operating Procedure</w:t>
      </w:r>
    </w:p>
    <w:p>
      <w:r>
        <w:t>Infection Prevention and Control in Clinical Areas</w:t>
      </w:r>
    </w:p>
    <w:p>
      <w:r>
        <w:t>«Hospital Name» — SOP-HIC.2 — Version 1.0</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SOP No.</w:t>
            </w:r>
          </w:p>
        </w:tc>
        <w:tc>
          <w:tcPr>
            <w:tcW w:type="dxa" w:w="2160"/>
          </w:tcPr>
          <w:p>
            <w:r>
              <w:t>SOP-HIC.2</w:t>
            </w:r>
          </w:p>
        </w:tc>
        <w:tc>
          <w:tcPr>
            <w:tcW w:type="dxa" w:w="2160"/>
          </w:tcPr>
          <w:p>
            <w:r>
              <w:t>Version</w:t>
            </w:r>
          </w:p>
        </w:tc>
        <w:tc>
          <w:tcPr>
            <w:tcW w:type="dxa" w:w="2160"/>
          </w:tcPr>
          <w:p>
            <w:r>
              <w:t>1.0</w:t>
            </w:r>
          </w:p>
        </w:tc>
      </w:tr>
      <w:tr>
        <w:tc>
          <w:tcPr>
            <w:tcW w:type="dxa" w:w="2160"/>
          </w:tcPr>
          <w:p>
            <w:r>
              <w:t>Effective Date</w:t>
            </w:r>
          </w:p>
        </w:tc>
        <w:tc>
          <w:tcPr>
            <w:tcW w:type="dxa" w:w="2160"/>
          </w:tcPr>
          <w:p>
            <w:r>
              <w:t>«________»</w:t>
            </w:r>
          </w:p>
        </w:tc>
        <w:tc>
          <w:tcPr>
            <w:tcW w:type="dxa" w:w="2160"/>
          </w:tcPr>
          <w:p>
            <w:r>
              <w:t>Review Frequency</w:t>
            </w:r>
          </w:p>
        </w:tc>
        <w:tc>
          <w:tcPr>
            <w:tcW w:type="dxa" w:w="2160"/>
          </w:tcPr>
          <w:p>
            <w:r>
              <w:t>Annual, or on change</w:t>
            </w:r>
          </w:p>
        </w:tc>
      </w:tr>
    </w:tbl>
    <w:p/>
    <w:p>
      <w:pPr>
        <w:pStyle w:val="Heading1"/>
      </w:pPr>
      <w:r>
        <w:t>1. Purpose</w:t>
      </w:r>
    </w:p>
    <w:tbl>
      <w:tblPr>
        <w:tblStyle w:val="TableGrid"/>
        <w:tblW w:type="auto" w:w="0"/>
        <w:tblLook w:firstColumn="1" w:firstRow="1" w:lastColumn="0" w:lastRow="0" w:noHBand="0" w:noVBand="1" w:val="04A0"/>
      </w:tblPr>
      <w:tblGrid>
        <w:gridCol w:w="8640"/>
      </w:tblGrid>
      <w:tr>
        <w:tc>
          <w:tcPr>
            <w:tcW w:type="dxa" w:w="8640"/>
          </w:tcPr>
          <w:p>
            <w:r>
              <w:t>This SOP sets out how «Hospital Name» prevents infection transmission in day-to-day clinical care: standard precautions used on every patient regardless of diagnosis, hand hygiene, extra precautions when a specific infection is suspected or confirmed, safe injection and infusion technique, a written antimicrobial policy, monitoring of how that policy is actually followed, and a structured antibiotic stewardship programme.</w:t>
            </w:r>
          </w:p>
        </w:tc>
      </w:tr>
    </w:tbl>
    <w:p/>
    <w:tbl>
      <w:tblPr>
        <w:tblStyle w:val="TableGrid"/>
        <w:tblW w:type="auto" w:w="0"/>
        <w:tblLook w:firstColumn="1" w:firstRow="1" w:lastColumn="0" w:lastRow="0" w:noHBand="0" w:noVBand="1" w:val="04A0"/>
      </w:tblPr>
      <w:tblGrid>
        <w:gridCol w:w="8640"/>
      </w:tblGrid>
      <w:tr>
        <w:tc>
          <w:tcPr>
            <w:tcW w:type="dxa" w:w="8640"/>
          </w:tcPr>
          <w:p>
            <w:r>
              <w:t>A nurse skips hand hygiene between two patients because the ward is busy, or a doctor prescribes a broad-spectrum antibiotic out of habit rather than need -- each one small, each one repeated often enough across a hospital to drive both infection rates and antibiotic resistance up. This SOP is what makes the safer default the easy one to follow.</w:t>
            </w:r>
          </w:p>
        </w:tc>
      </w:tr>
    </w:tbl>
    <w:p/>
    <w:tbl>
      <w:tblPr>
        <w:tblStyle w:val="TableGrid"/>
        <w:tblW w:type="auto" w:w="0"/>
        <w:tblLook w:firstColumn="1" w:firstRow="1" w:lastColumn="0" w:lastRow="0" w:noHBand="0" w:noVBand="1" w:val="04A0"/>
      </w:tblPr>
      <w:tblGrid>
        <w:gridCol w:w="8640"/>
      </w:tblGrid>
      <w:tr>
        <w:tc>
          <w:tcPr>
            <w:tcW w:type="dxa" w:w="8640"/>
          </w:tcPr>
          <w:p>
            <w:r>
              <w:t>We do this because most healthcare-associated infection does not come from one dramatic failure -- it comes from ordinary clinical moments done slightly wrong, over and over, at scale.</w:t>
            </w:r>
          </w:p>
        </w:tc>
      </w:tr>
    </w:tbl>
    <w:p/>
    <w:p>
      <w:r>
        <w:t>To define how «Hospital Name» implements infection prevention and control in clinical areas through standard precautions, hand-hygiene guidelines, transmission-based precautions, safe injection and infusion practices, a documented antimicrobial usage policy, monitoring of rational antimicrobial use, and an antibiotic stewardship programme.</w:t>
      </w:r>
    </w:p>
    <w:p>
      <w:pPr>
        <w:pStyle w:val="Heading1"/>
      </w:pPr>
      <w:r>
        <w:t>2. Scope</w:t>
      </w:r>
    </w:p>
    <w:p>
      <w:r>
        <w:t>so every healthcare provider who touches a patient -- not only the Infection Control Nurse -- knows these precautions apply to every patient, every time, not only the ones who look infectious.</w:t>
      </w:r>
    </w:p>
    <w:p>
      <w:r>
        <w:t>Applies to all clinical areas of «Hospital Name» and to every healthcare provider who delivers patient care -- doctors, nurses, technicians -- along with the Infection Control Officer and Nurse, the pharmacy, and the Infection Control Committee. It covers the infection-prevention precautions, injection practices and antimicrobial stewardship used directly in patient care. It does not cover the overall infection-control programme and governance, support-service infection control, prevention of specific device- and procedure-linked infections, or surveillance methodology -- each of those is set out in its own separate SOP in this chapter.</w:t>
      </w:r>
    </w:p>
    <w:p>
      <w:pPr>
        <w:pStyle w:val="Heading1"/>
      </w:pPr>
      <w:r>
        <w:t>3. Responsibility</w:t>
      </w:r>
    </w:p>
    <w:p>
      <w:r>
        <w:t>a precaution that depends on remembering to apply it only to "infectious-looking" patients fails exactly when it matters -- naming every clinical role as responsible, for every patient, is what makes it a default instead of a judgement call.</w:t>
      </w:r>
    </w:p>
    <w:p>
      <w:r>
        <w:rPr>
          <w:b/>
        </w:rPr>
        <w:t xml:space="preserve">Medical Superintendent: </w:t>
      </w:r>
      <w:r>
        <w:t>Accountable that infection-prevention practices and the antimicrobial stewardship programme are implemented.</w:t>
      </w:r>
    </w:p>
    <w:p>
      <w:r>
        <w:rPr>
          <w:b/>
        </w:rPr>
        <w:t xml:space="preserve">Infection Control Officer: </w:t>
      </w:r>
      <w:r>
        <w:t>Oversees transmission-based-precaution criteria; drafts and reviews the antimicrobial usage policy; leads the antibiotic stewardship programme.</w:t>
      </w:r>
    </w:p>
    <w:p>
      <w:r>
        <w:rPr>
          <w:b/>
        </w:rPr>
        <w:t xml:space="preserve">Infection Control Nurse: </w:t>
      </w:r>
      <w:r>
        <w:t>Monitors standard-precaution and hand-hygiene compliance; audits safe-injection practice; audits antimicrobial-policy compliance.</w:t>
      </w:r>
    </w:p>
    <w:p>
      <w:r>
        <w:rPr>
          <w:b/>
        </w:rPr>
        <w:t xml:space="preserve">Treating Doctors / Clinicians: </w:t>
      </w:r>
      <w:r>
        <w:t>Apply standard and transmission-based precautions; prescribe per the antimicrobial usage policy; initiate transmission-based precautions when indicated.</w:t>
      </w:r>
    </w:p>
    <w:p>
      <w:r>
        <w:rPr>
          <w:b/>
        </w:rPr>
        <w:t xml:space="preserve">Nurses: </w:t>
      </w:r>
      <w:r>
        <w:t>Apply standard precautions and hand hygiene; implement transmission-based precautions; administer injections and infusions per protocol.</w:t>
      </w:r>
    </w:p>
    <w:p>
      <w:r>
        <w:rPr>
          <w:b/>
        </w:rPr>
        <w:t xml:space="preserve">Pharmacy / Antimicrobial Stewardship Team: </w:t>
      </w:r>
      <w:r>
        <w:t>Implements the antimicrobial formulary and restricted-category controls; supports stewardship rounds.</w:t>
      </w:r>
    </w:p>
    <w:p>
      <w:r>
        <w:rPr>
          <w:b/>
        </w:rPr>
        <w:t xml:space="preserve">Infection Control Committee: </w:t>
      </w:r>
      <w:r>
        <w:t>Approves the antimicrobial usage policy; reviews stewardship-programme outcomes.</w:t>
      </w:r>
    </w:p>
    <w:p>
      <w:pPr>
        <w:pStyle w:val="Heading1"/>
      </w:pPr>
      <w:r>
        <w:t>4. What to do</w:t>
      </w:r>
    </w:p>
    <w:p>
      <w:pPr>
        <w:pStyle w:val="Heading2"/>
      </w:pPr>
      <w:r>
        <w:t>Apply standard precautions to every patient, every time</w:t>
      </w:r>
    </w:p>
    <w:p>
      <w:r>
        <w:t>Waiting to apply precautions only once a patient "looks" infectious misses the many infections that show no obvious sign at all -- treating every patient the same way is what actually protects staff and other patients.</w:t>
      </w:r>
    </w:p>
    <w:p>
      <w:r>
        <w:t>All healthcare providers at «Hospital Name» adhere to standard precautions at all times, regardless of the patient's diagnosis or presumed infection status. Standard precautions are:</w:t>
      </w:r>
    </w:p>
    <w:p>
      <w:r>
        <w:t>1. Hand hygiene before and after every patient contact.</w:t>
      </w:r>
    </w:p>
    <w:p>
      <w:r>
        <w:t>2. Personal protective equipment (gloves, gown, mask, eye protection) matched to the exposure that is anticipated.</w:t>
      </w:r>
    </w:p>
    <w:p>
      <w:r>
        <w:t>3. Safe handling and disposal of sharps.</w:t>
      </w:r>
    </w:p>
    <w:p>
      <w:r>
        <w:t>4. Respiratory hygiene and cough etiquette.</w:t>
      </w:r>
    </w:p>
    <w:p>
      <w:r>
        <w:t>5. Safe handling of patient-care equipment and linen.</w:t>
      </w:r>
    </w:p>
    <w:p>
      <w:r>
        <w:t>6. Environmental cleaning of the care area.</w:t>
      </w:r>
    </w:p>
    <w:p>
      <w:r>
        <w:t>7. Safe waste management, segregated at the point it is generated.</w:t>
      </w:r>
    </w:p>
    <w:p>
      <w:r>
        <w:t>PPE is kept available at the point of use in every clinical area, and the correct order for putting it on and taking it off is displayed where staff can see it.</w:t>
      </w:r>
    </w:p>
    <w:p>
      <w:pPr>
        <w:pStyle w:val="Heading2"/>
      </w:pPr>
      <w:r>
        <w:t>Follow the WHO five-moments hand-hygiene method</w:t>
      </w:r>
    </w:p>
    <w:p>
      <w:r>
        <w:t>Hand hygiene done "when you remember" misses the moments that actually carry the highest risk of passing an organism from one patient to the next -- the five moments exist because they were tested, not guessed.</w:t>
      </w:r>
    </w:p>
    <w:p>
      <w:r>
        <w:t>«Hospital Name» follows the WHO five moments for hand hygiene: before touching a patient, before a clean or aseptic task, after any risk of exposure to body fluid, after touching a patient, and after touching a patient's surroundings.</w:t>
      </w:r>
    </w:p>
    <w:p>
      <w:r>
        <w:t>Alcohol-based hand rub dispensers are placed at «every bed, procedure area entry and nursing station». Soap and running water are available at every hand-wash sink. Hand-hygiene technique posters are displayed at every sink and hand-rub station.</w:t>
      </w:r>
    </w:p>
    <w:p>
      <w:r>
        <w:t>Hand-hygiene compliance is monitored through this hospital's infection-control surveillance process, with feedback shared «monthly» with each clinical unit.</w:t>
      </w:r>
    </w:p>
    <w:p>
      <w:pPr>
        <w:pStyle w:val="Heading2"/>
      </w:pPr>
      <w:r>
        <w:t>Add extra precautions when a specific infection is suspected or confirmed</w:t>
      </w:r>
    </w:p>
    <w:p>
      <w:r>
        <w:t>Standard precautions alone are not enough once a specific organism and its way of spreading are known -- an airborne infection needs a different barrier than a contact one, and getting that wrong spreads it further.</w:t>
      </w:r>
    </w:p>
    <w:p>
      <w:r>
        <w:t>In addition to standard precautions, «Hospital Name» applies transmission-based precautions -- contact, droplet, or airborne -- whenever the patient's condition, culture result or epidemiological assessment indicates it:</w:t>
      </w:r>
    </w:p>
    <w:p>
      <w:r>
        <w:t>1. Contact precautions: gown and gloves for all contact; dedicated equipment for that patient; a single room or cohorting with other patients on the same precaution.</w:t>
      </w:r>
    </w:p>
    <w:p>
      <w:r>
        <w:t>2. Droplet precautions: a surgical mask within «1 metre» of the patient; a single room where possible.</w:t>
      </w:r>
    </w:p>
    <w:p>
      <w:r>
        <w:t>3. Airborne precautions: an N95 respirator; a negative-pressure room where one is available; the door kept closed.</w:t>
      </w:r>
    </w:p>
    <w:p>
      <w:r>
        <w:t>Signage is placed at the room or bed showing which precaution is in use, and written criteria define when the precaution can be stepped down.</w:t>
      </w:r>
    </w:p>
    <w:p>
      <w:pPr>
        <w:pStyle w:val="Heading2"/>
      </w:pPr>
      <w:r>
        <w:t>Follow safe injection and infusion practice every time</w:t>
      </w:r>
    </w:p>
    <w:p>
      <w:r>
        <w:t>Reusing a needle, recapping by hand, or leaving a multi-dose vial open past its safe window are small shortcuts that can pass bloodborne infection from one patient to another, or infect the staff member taking the shortcut.</w:t>
      </w:r>
    </w:p>
    <w:p>
      <w:r>
        <w:t>«Hospital Name» follows safe injection and infusion practice at all times:</w:t>
      </w:r>
    </w:p>
    <w:p>
      <w:r>
        <w:t>1. A new, sterile syringe and needle for every injection, with no exceptions.</w:t>
      </w:r>
    </w:p>
    <w:p>
      <w:r>
        <w:t>2. Needles are never recapped by hand -- a needle destroyer or safety-engineered device is used instead.</w:t>
      </w:r>
    </w:p>
    <w:p>
      <w:r>
        <w:t>3. Single-dose vials are used whenever possible; where a multi-dose vial has to be used, it is handled aseptically, labelled with the date it was opened, and discarded after «28 days or the manufacturer's instruction, whichever is shorter».</w:t>
      </w:r>
    </w:p>
    <w:p>
      <w:r>
        <w:t>4. Injections are prepared in a clean, designated area, away from any contaminated items.</w:t>
      </w:r>
    </w:p>
    <w:p>
      <w:r>
        <w:t>5. Aseptic technique is used for every intravenous access and infusion preparation.</w:t>
      </w:r>
    </w:p>
    <w:p>
      <w:r>
        <w:t>6. IV administration sets are changed per protocol -- «every 72-96 hours for continuous infusions; immediately after blood products or lipids».</w:t>
      </w:r>
    </w:p>
    <w:p>
      <w:r>
        <w:t>Phlebotomy and IV cannulation follow a written aseptic insertion-and-maintenance bundle.</w:t>
      </w:r>
    </w:p>
    <w:p>
      <w:pPr>
        <w:pStyle w:val="Heading2"/>
      </w:pPr>
      <w:r>
        <w:t>Keep a written antimicrobial usage policy, grounded in this hospital's own resistance data</w:t>
      </w:r>
    </w:p>
    <w:p>
      <w:r>
        <w:t>Prescribing on habit rather than on what this hospital's own organisms are actually resistant to drives resistance up and leaves the next patient with fewer options that still work.</w:t>
      </w:r>
    </w:p>
    <w:p>
      <w:r>
        <w:t>«Hospital Name» has an antimicrobial usage policy that is established and documented. The policy is based on:</w:t>
      </w:r>
    </w:p>
    <w:p>
      <w:r>
        <w:t>1. The hospital's own local antibiogram data, updated «annually» from this hospital's own culture and sensitivity results, or from regional data where this hospital's own case volume is too low.</w:t>
      </w:r>
    </w:p>
    <w:p>
      <w:r>
        <w:t>2. National treatment guidelines (ICMR / IDSA or equivalent).</w:t>
      </w:r>
    </w:p>
    <w:p>
      <w:r>
        <w:t>3. A classification of antimicrobials into unrestricted, restricted and reserve categories.</w:t>
      </w:r>
    </w:p>
    <w:p>
      <w:r>
        <w:t>The policy sets out empirical-therapy recommendations for common infections, criteria for escalating or de-escalating therapy, duration guidance, and surgical-prophylaxis protocols. It is approved by the Infection Control Committee and made available to every prescriber.</w:t>
      </w:r>
    </w:p>
    <w:p>
      <w:pPr>
        <w:pStyle w:val="Heading2"/>
      </w:pPr>
      <w:r>
        <w:t>Check that the antimicrobial policy is actually being followed, not just written</w:t>
      </w:r>
    </w:p>
    <w:p>
      <w:r>
        <w:t>A policy that sits in a folder while prescribing continues unchanged has achieved nothing -- checking actual prescriptions against it is what tells this hospital whether the policy is working.</w:t>
      </w:r>
    </w:p>
    <w:p>
      <w:r>
        <w:t>The Infection Control Committee and the antimicrobial stewardship team monitor rational use of antimicrobial agents at «Hospital Name»:</w:t>
      </w:r>
    </w:p>
    <w:p>
      <w:r>
        <w:t>1. Prescription audits are conducted «monthly» on a sample of inpatient records.</w:t>
      </w:r>
    </w:p>
    <w:p>
      <w:r>
        <w:t>2. Compliance with the antimicrobial usage policy -- empirical choice, de-escalation, duration -- is measured against that sample.</w:t>
      </w:r>
    </w:p>
    <w:p>
      <w:r>
        <w:t>3. Use of restricted-category antimicrobials is tracked by volume and by indication.</w:t>
      </w:r>
    </w:p>
    <w:p>
      <w:r>
        <w:t>4. Feedback is given to prescribers «quarterly».</w:t>
      </w:r>
    </w:p>
    <w:p>
      <w:r>
        <w:t>5. A trend of non-compliance is escalated to the Medical Superintendent rather than left to repeat.</w:t>
      </w:r>
    </w:p>
    <w:p>
      <w:pPr>
        <w:pStyle w:val="Heading2"/>
      </w:pPr>
      <w:r>
        <w:t>Run a structured antibiotic stewardship programme</w:t>
      </w:r>
    </w:p>
    <w:p>
      <w:r>
        <w:t>A policy on paper and occasional audits are not the same as someone actively reviewing real prescriptions in real time -- stewardship rounds catch the wrong antibiotic, the wrong dose, or the unnecessarily long course while it can still be corrected.</w:t>
      </w:r>
    </w:p>
    <w:p>
      <w:r>
        <w:t>«Hospital Name» runs an antibiotic stewardship programme (ASP) to optimise antimicrobial therapy, improve patient outcomes and reduce antimicrobial resistance. The programme includes:</w:t>
      </w:r>
    </w:p>
    <w:p>
      <w:r>
        <w:t>1. Prospective audit with intervention and feedback -- stewardship rounds held «twice a week».</w:t>
      </w:r>
    </w:p>
    <w:p>
      <w:r>
        <w:t>2. Formulary restriction and pre-authorisation for reserve antimicrobials.</w:t>
      </w:r>
    </w:p>
    <w:p>
      <w:r>
        <w:t>3. An automatic stop order and mandatory review at «72 hours» for empirical therapy.</w:t>
      </w:r>
    </w:p>
    <w:p>
      <w:r>
        <w:t>4. Education of prescribers on local resistance patterns and appropriate prescribing.</w:t>
      </w:r>
    </w:p>
    <w:p>
      <w:r>
        <w:t>5. Monitoring of defined-daily-dose / days-of-therapy trends.</w:t>
      </w:r>
    </w:p>
    <w:p>
      <w:r>
        <w:t>6. An annual review of the programme's impact on resistance patterns, consumption and clinical outcomes.</w:t>
      </w:r>
    </w:p>
    <w:p>
      <w:r>
        <w:t>The stewardship team includes, at minimum, the Infection Control Officer, a clinical pharmacist (or a «senior nurse trained in antibiotic stewardship» where no pharmacist is available), and a microbiologist or access to microbiology consultation.</w:t>
      </w:r>
    </w:p>
    <w:p>
      <w:pPr>
        <w:pStyle w:val="Heading1"/>
      </w:pPr>
      <w:r>
        <w:t>5. Records</w:t>
      </w:r>
    </w:p>
    <w:p>
      <w:r>
        <w:t>This SOP produces and maintains Records 1-7 (see the HIC.2 Records folder).</w:t>
      </w:r>
    </w:p>
    <w:p>
      <w:pPr>
        <w:pStyle w:val="Heading1"/>
      </w:pPr>
      <w:r>
        <w:t>6. Related SOPs</w:t>
      </w:r>
    </w:p>
    <w:p>
      <w:pPr>
        <w:pStyle w:val="ListParagraph"/>
      </w:pPr>
      <w:r>
        <w:t>Hospital's Hospital Infection Prevention and Control Programme SOP (HIC.1)</w:t>
      </w:r>
    </w:p>
    <w:p>
      <w:pPr>
        <w:pStyle w:val="ListParagraph"/>
      </w:pPr>
      <w:r>
        <w:t>Hospital's Prevention of Healthcare Associated Infections in Patients and Staff SOP (HIC.4)</w:t>
      </w:r>
    </w:p>
    <w:p>
      <w:pPr>
        <w:pStyle w:val="ListParagraph"/>
      </w:pPr>
      <w:r>
        <w:t>Hospital's Infection Prevention and Control Surveillance SOP (HIC.5)</w:t>
      </w:r>
    </w:p>
    <w:p>
      <w:pPr>
        <w:pStyle w:val="Heading1"/>
      </w:pPr>
      <w:r>
        <w:t>7. Review</w:t>
      </w:r>
    </w:p>
    <w:p>
      <w:r>
        <w:t>This SOP is reviewed annually, or sooner if a prescription audit finds a sustained compliance gap with the antimicrobial usage policy, or if a related policy named above in this chapter is revised.</w:t>
      </w:r>
    </w:p>
    <w:p>
      <w:r>
        <w:br w:type="page"/>
      </w:r>
    </w:p>
    <w:p>
      <w:pPr>
        <w:pStyle w:val="Heading1"/>
      </w:pPr>
      <w:r>
        <w:t>Appendix — NABH Standard Cross-Reference and Evidence Basis</w:t>
      </w:r>
    </w:p>
    <w:p>
      <w:r>
        <w:t>For the Quality Coordinator and NABH assessment use only. The reasoning and real-world triggers for each requirement are already in the body above -- this appendix adds only what the body deliberately leaves out: the exact objective-element code, how this SOP's scope is kept separate from neighbouring standards, and the verified technical source for anything cited.</w:t>
      </w:r>
    </w:p>
    <w:p>
      <w:pPr>
        <w:pStyle w:val="Heading2"/>
      </w:pPr>
      <w:r>
        <w:t>Apply standard precautions to every patient, every time — HIC.2.a</w:t>
      </w:r>
    </w:p>
    <w:p>
      <w:r>
        <w:rPr>
          <w:i/>
        </w:rPr>
        <w:t>Boundary with other standards:</w:t>
      </w:r>
    </w:p>
    <w:p>
      <w:pPr>
        <w:pStyle w:val="ListParagraph"/>
      </w:pPr>
      <w:r>
        <w:t>• Waste segregation mechanics themselves are owned by HIC.3.d; this step is the standard-precaution requirement to use them correctly at the point of care.</w:t>
      </w:r>
    </w:p>
    <w:p>
      <w:pPr>
        <w:pStyle w:val="Heading2"/>
      </w:pPr>
      <w:r>
        <w:t>Follow the WHO five-moments hand-hygiene method — HIC.2.b</w:t>
      </w:r>
    </w:p>
    <w:p>
      <w:r>
        <w:rPr>
          <w:i/>
        </w:rPr>
        <w:t>Boundary with other standards:</w:t>
      </w:r>
    </w:p>
    <w:p>
      <w:pPr>
        <w:pStyle w:val="ListParagraph"/>
      </w:pPr>
      <w:r>
        <w:t>• The audit method, compliance-rate calculation and feedback cadence for hand hygiene are owned by HIC.5.b; this step is the protocol itself and the supplies/signage that support it.</w:t>
      </w:r>
    </w:p>
    <w:p>
      <w:r>
        <w:rPr>
          <w:i/>
        </w:rPr>
        <w:t>Verified source(s):</w:t>
      </w:r>
    </w:p>
    <w:p>
      <w:pPr>
        <w:pStyle w:val="ListParagraph"/>
      </w:pPr>
      <w:r>
        <w:t xml:space="preserve">• </w:t>
      </w:r>
      <w:r>
        <w:t xml:space="preserve">World Health Organization. (2009). </w:t>
      </w:r>
      <w:hyperlink r:id="rId9">
        <w:r>
          <w:rPr>
            <w:color w:val="0563C1"/>
            <w:u w:val="single"/>
          </w:rPr>
          <w:t>WHO guidelines on hand hygiene in health care</w:t>
        </w:r>
      </w:hyperlink>
      <w:r>
        <w:t>. Geneva: WHO -- the source of the five-moments method and the observation-audit approach this hospital's hand-hygiene protocol and surveillance are built on.</w:t>
      </w:r>
    </w:p>
    <w:p>
      <w:pPr>
        <w:pStyle w:val="Heading2"/>
      </w:pPr>
      <w:r>
        <w:t>Add extra precautions when a specific infection is suspected or confirmed — HIC.2.c</w:t>
      </w:r>
    </w:p>
    <w:p>
      <w:r>
        <w:rPr>
          <w:i/>
        </w:rPr>
        <w:t>Boundary with other standards:</w:t>
      </w:r>
    </w:p>
    <w:p>
      <w:pPr>
        <w:pStyle w:val="ListParagraph"/>
      </w:pPr>
      <w:r>
        <w:t>• The physical isolation facility and its general readiness are owned by HIC.1.f; this step is the clinical decision and technique for each precaution type.</w:t>
      </w:r>
    </w:p>
    <w:p>
      <w:pPr>
        <w:pStyle w:val="Heading2"/>
      </w:pPr>
      <w:r>
        <w:t>Follow safe injection and infusion practice every time — HIC.2.d</w:t>
      </w:r>
    </w:p>
    <w:p>
      <w:r>
        <w:rPr>
          <w:i/>
        </w:rPr>
        <w:t>Boundary with other standards:</w:t>
      </w:r>
    </w:p>
    <w:p>
      <w:pPr>
        <w:pStyle w:val="ListParagraph"/>
      </w:pPr>
      <w:r>
        <w:t>• The central-line-specific insertion bundle is owned by HIC.4.c; this step is general safe injection and peripheral-line practice.</w:t>
      </w:r>
    </w:p>
    <w:p>
      <w:pPr>
        <w:pStyle w:val="Heading2"/>
      </w:pPr>
      <w:r>
        <w:t>Keep a written antimicrobial usage policy, grounded in this hospital's own resistance data — HIC.2.e</w:t>
      </w:r>
    </w:p>
    <w:p>
      <w:pPr>
        <w:pStyle w:val="Heading2"/>
      </w:pPr>
      <w:r>
        <w:t>Check that the antimicrobial policy is actually being followed, not just written — HIC.2.f</w:t>
      </w:r>
    </w:p>
    <w:p>
      <w:pPr>
        <w:pStyle w:val="Heading2"/>
      </w:pPr>
      <w:r>
        <w:t>Run a structured antibiotic stewardship programme — HIC.2.g</w:t>
      </w:r>
    </w:p>
    <w:p>
      <w:pPr>
        <w:pStyle w:val="Heading2"/>
      </w:pPr>
      <w:r>
        <w:t>Full reference list</w:t>
      </w:r>
    </w:p>
    <w:p>
      <w:pPr>
        <w:pStyle w:val="ListParagraph"/>
      </w:pPr>
      <w:r>
        <w:t xml:space="preserve">• </w:t>
      </w:r>
      <w:r>
        <w:t xml:space="preserve">National Accreditation Board for Hospitals and Healthcare Providers. (2022). Standards for Small Healthcare Organisations (3rd ed.). </w:t>
      </w:r>
      <w:hyperlink r:id="rId10">
        <w:r>
          <w:rPr>
            <w:color w:val="0563C1"/>
            <w:u w:val="single"/>
          </w:rPr>
          <w:t>NABH SHCO Accreditation Programme page</w:t>
        </w:r>
      </w:hyperlink>
      <w:r>
        <w:t>. Hospital Infection Control chapter, standard HIC.2.</w:t>
      </w:r>
    </w:p>
    <w:p>
      <w:pPr>
        <w:pStyle w:val="ListParagraph"/>
      </w:pPr>
      <w:r>
        <w:t xml:space="preserve">• </w:t>
      </w:r>
      <w:r>
        <w:t xml:space="preserve">World Health Organization. (2009). </w:t>
      </w:r>
      <w:hyperlink r:id="rId9">
        <w:r>
          <w:rPr>
            <w:color w:val="0563C1"/>
            <w:u w:val="single"/>
          </w:rPr>
          <w:t>WHO guidelines on hand hygiene in health care</w:t>
        </w:r>
      </w:hyperlink>
      <w:r>
        <w:t>. Geneva: WHO -- the source of the five-moments method and the observation-audit approach this hospital's hand-hygiene protocol and surveillance are built on.</w:t>
      </w:r>
    </w:p>
    <w:p>
      <w:pPr>
        <w:pStyle w:val="ListParagraph"/>
      </w:pPr>
      <w:r>
        <w:t xml:space="preserve">• </w:t>
      </w:r>
      <w:r>
        <w:t xml:space="preserve">World Health Organization. (2016). </w:t>
      </w:r>
      <w:hyperlink r:id="rId11">
        <w:r>
          <w:rPr>
            <w:color w:val="0563C1"/>
            <w:u w:val="single"/>
          </w:rPr>
          <w:t>Guidelines on core components of infection prevention and control programmes at the national and acute health care facility level</w:t>
        </w:r>
      </w:hyperlink>
      <w:r>
        <w:t>. Geneva: WHO -- the internationally recognised framework this hospital's infection-control programme, committee and team structure are built 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publications/i/item/9789241597906" TargetMode="External"/><Relationship Id="rId10" Type="http://schemas.openxmlformats.org/officeDocument/2006/relationships/hyperlink" Target="https://nabh.co/programmes/small-healthcare-organisation-shco-accreditation-programme/" TargetMode="External"/><Relationship Id="rId11" Type="http://schemas.openxmlformats.org/officeDocument/2006/relationships/hyperlink" Target="https://www.who.int/publications/i/item/97892415499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