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Prevention of Healthcare Associated Infections in Patients and Staff</w:t>
      </w:r>
    </w:p>
    <w:p>
      <w:r>
        <w:t>«Hospital Name» — SOP-HIC.4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SOP-HIC.4</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the specific, evidence-based bundles «Hospital Name» uses to prevent four of the most common device- and procedure-linked infections -- catheter-associated urinary tract infection, ventilator-associated pneumonia, catheter-linked blood stream infection, and surgical site infection -- plus how the hospital protects its own staff from occupational infection risk and provides post-exposure prophylaxis after a significant exposure.</w:t>
            </w:r>
          </w:p>
        </w:tc>
      </w:tr>
    </w:tbl>
    <w:p/>
    <w:tbl>
      <w:tblPr>
        <w:tblStyle w:val="TableGrid"/>
        <w:tblW w:type="auto" w:w="0"/>
        <w:tblLook w:firstColumn="1" w:firstRow="1" w:lastColumn="0" w:lastRow="0" w:noHBand="0" w:noVBand="1" w:val="04A0"/>
      </w:tblPr>
      <w:tblGrid>
        <w:gridCol w:w="8640"/>
      </w:tblGrid>
      <w:tr>
        <w:tc>
          <w:tcPr>
            <w:tcW w:type="dxa" w:w="8640"/>
          </w:tcPr>
          <w:p>
            <w:r>
              <w:t>A urinary catheter stays in three days longer than it needed to because nobody asked whether it was still needed, and the patient develops a urinary tract infection that was entirely preventable. This SOP is what makes asking "does this device still need to be in?" a daily habit, not an afterthought.</w:t>
            </w:r>
          </w:p>
        </w:tc>
      </w:tr>
    </w:tbl>
    <w:p/>
    <w:tbl>
      <w:tblPr>
        <w:tblStyle w:val="TableGrid"/>
        <w:tblW w:type="auto" w:w="0"/>
        <w:tblLook w:firstColumn="1" w:firstRow="1" w:lastColumn="0" w:lastRow="0" w:noHBand="0" w:noVBand="1" w:val="04A0"/>
      </w:tblPr>
      <w:tblGrid>
        <w:gridCol w:w="8640"/>
      </w:tblGrid>
      <w:tr>
        <w:tc>
          <w:tcPr>
            <w:tcW w:type="dxa" w:w="8640"/>
          </w:tcPr>
          <w:p>
            <w:r>
              <w:t>We do this because each of these infections has a well-studied bundle of simple steps that measurably reduces its risk -- the evidence already exists; what is left is actually doing the bundle every time, for every patient, on every shift.</w:t>
            </w:r>
          </w:p>
        </w:tc>
      </w:tr>
    </w:tbl>
    <w:p/>
    <w:p>
      <w:r>
        <w:t>To define the actions «Hospital Name» takes to prevent catheter-associated urinary tract infection (CAUTI), infection-related ventilator-associated complication / ventilator-associated pneumonia (IVAC/VAP), catheter-linked blood stream infection (CLABSI) and surgical site infection (SSI) in patients, and to implement occupational health and safety practices and post-exposure prophylaxis to reduce infection risk to staff.</w:t>
      </w:r>
    </w:p>
    <w:p>
      <w:pPr>
        <w:pStyle w:val="Heading1"/>
      </w:pPr>
      <w:r>
        <w:t>2. Scope</w:t>
      </w:r>
    </w:p>
    <w:p>
      <w:r>
        <w:t>so every clinician who inserts a device or performs surgery, and every staff member at risk of occupational exposure, knows exactly which bundle applies to them and that reporting an exposure immediately is expected, not something to downplay.</w:t>
      </w:r>
    </w:p>
    <w:p>
      <w:r>
        <w:t>Applies to all staff at «Hospital Name» who insert, maintain or remove invasive devices, who perform surgical procedures, or who are at risk of occupational exposure to blood or body fluid: treating doctors, surgeons, nurses, the Infection Control Officer and Nurse, and the pharmacy. It covers the specific prevention bundles for CAUTI, VAP, CLABSI and SSI, and the occupational-health response to a significant exposure. It does not cover general clinical infection-prevention precautions, support-service infection control, or surveillance methodology -- each of those is set out in its own separate SOP in this chapter. Where «Hospital Name» does not provide a service referred to in a bundle below (such as mechanical ventilation or central-line insertion), that is recorded as an absence against this hospital's own service directory, not treated as a gap.</w:t>
      </w:r>
    </w:p>
    <w:p>
      <w:pPr>
        <w:pStyle w:val="Heading1"/>
      </w:pPr>
      <w:r>
        <w:t>3. Responsibility</w:t>
      </w:r>
    </w:p>
    <w:p>
      <w:r>
        <w:t>a prevention bundle that nobody is named to actually perform, every time, quietly becomes a bundle that is only partly followed -- and a partial bundle protects nobody.</w:t>
      </w:r>
    </w:p>
    <w:p>
      <w:r>
        <w:rPr>
          <w:b/>
        </w:rPr>
        <w:t xml:space="preserve">Treating Doctors: </w:t>
      </w:r>
      <w:r>
        <w:t>Decide and document catheter/line indications; lead CLABSI and SSI insertion bundles; initiate antibiotic prophylaxis timing.</w:t>
      </w:r>
    </w:p>
    <w:p>
      <w:r>
        <w:rPr>
          <w:b/>
        </w:rPr>
        <w:t xml:space="preserve">Nurses / ICU Staff: </w:t>
      </w:r>
      <w:r>
        <w:t>Perform daily device-necessity reassessment; maintain CAUTI, VAP and CLABSI maintenance bundles; apply post-operative wound care.</w:t>
      </w:r>
    </w:p>
    <w:p>
      <w:r>
        <w:rPr>
          <w:b/>
        </w:rPr>
        <w:t xml:space="preserve">Surgeons: </w:t>
      </w:r>
      <w:r>
        <w:t>Lead the pre-/intra-/post-operative SSI-prevention bundle.</w:t>
      </w:r>
    </w:p>
    <w:p>
      <w:r>
        <w:rPr>
          <w:b/>
        </w:rPr>
        <w:t xml:space="preserve">Infection Control Nurse: </w:t>
      </w:r>
      <w:r>
        <w:t>Monitors CAUTI/VAP/CLABSI/SSI rates and gives unit-level feedback.</w:t>
      </w:r>
    </w:p>
    <w:p>
      <w:r>
        <w:rPr>
          <w:b/>
        </w:rPr>
        <w:t xml:space="preserve">Infection Control Officer: </w:t>
      </w:r>
      <w:r>
        <w:t>Runs the occupational-health-and-safety programme; assesses and initiates post-exposure prophylaxis, or delegates to the duty medical officer.</w:t>
      </w:r>
    </w:p>
    <w:p>
      <w:r>
        <w:rPr>
          <w:b/>
        </w:rPr>
        <w:t xml:space="preserve">Medical Superintendent: </w:t>
      </w:r>
      <w:r>
        <w:t>Ensures resources for occupational health and safety; approves work-restriction decisions for staff with a transmissible infection.</w:t>
      </w:r>
    </w:p>
    <w:p>
      <w:r>
        <w:rPr>
          <w:b/>
        </w:rPr>
        <w:t xml:space="preserve">Pharmacy: </w:t>
      </w:r>
      <w:r>
        <w:t>Stocks post-exposure-prophylaxis medicines, available 24 hours a day, 7 days a week.</w:t>
      </w:r>
    </w:p>
    <w:p>
      <w:pPr>
        <w:pStyle w:val="Heading1"/>
      </w:pPr>
      <w:r>
        <w:t>4. What to do</w:t>
      </w:r>
    </w:p>
    <w:p>
      <w:pPr>
        <w:pStyle w:val="Heading2"/>
      </w:pPr>
      <w:r>
        <w:t>Prevent catheter-associated urinary tract infection (CAUTI)</w:t>
      </w:r>
    </w:p>
    <w:p>
      <w:r>
        <w:t>A urinary catheter left in a day longer than it needs to be is the single biggest reason CAUTI happens at all -- the infection is preventable mainly by taking the catheter out on time, not by anything exotic.</w:t>
      </w:r>
    </w:p>
    <w:p>
      <w:r>
        <w:t>«Hospital Name» prevents CAUTI through an insertion-and-maintenance bundle:</w:t>
      </w:r>
    </w:p>
    <w:p>
      <w:r>
        <w:t>1. Insert a urinary catheter only for an accepted indication, documented in the clinical record.</w:t>
      </w:r>
    </w:p>
    <w:p>
      <w:r>
        <w:t>2. Use aseptic technique for insertion: hand hygiene, sterile gloves, a sterile drape, antiseptic peri-urethral cleaning, and a sterile closed drainage system.</w:t>
      </w:r>
    </w:p>
    <w:p>
      <w:r>
        <w:t>3. Secure the catheter to prevent movement and urethral trauma.</w:t>
      </w:r>
    </w:p>
    <w:p>
      <w:r>
        <w:t>4. Maintain a closed drainage system; do not disconnect it unless clinically necessary.</w:t>
      </w:r>
    </w:p>
    <w:p>
      <w:r>
        <w:t>5. Reassess the continued need for the catheter every day, and remove it as soon as the indication no longer applies.</w:t>
      </w:r>
    </w:p>
    <w:p>
      <w:r>
        <w:t>6. Document the insertion date, the indication, and every daily reassessment in the patient record.</w:t>
      </w:r>
    </w:p>
    <w:p>
      <w:r>
        <w:t>The Infection Control Nurse monitors CAUTI rates through this hospital's surveillance process and gives unit-level feedback «monthly».</w:t>
      </w:r>
    </w:p>
    <w:p>
      <w:pPr>
        <w:pStyle w:val="Heading2"/>
      </w:pPr>
      <w:r>
        <w:t>Prevent ventilator-associated pneumonia and related complications</w:t>
      </w:r>
    </w:p>
    <w:p>
      <w:r>
        <w:t>A patient on a ventilator cannot clear their own airway the way they normally would -- the bundle exists to do, deliberately, the protective things the patient's own body cannot do for itself right now.</w:t>
      </w:r>
    </w:p>
    <w:p>
      <w:r>
        <w:t>Where mechanical ventilation is provided, «Hospital Name» prevents ventilator-associated pneumonia (VAP) and infection-related ventilator-associated complication (IVAC) through:</w:t>
      </w:r>
    </w:p>
    <w:p>
      <w:r>
        <w:t>1. Head-of-bed elevation to «30-45 degrees», unless medically contraindicated.</w:t>
      </w:r>
    </w:p>
    <w:p>
      <w:r>
        <w:t>2. A daily sedation vacation and assessment of readiness to extubate.</w:t>
      </w:r>
    </w:p>
    <w:p>
      <w:r>
        <w:t>3. Oral care with «chlorhexidine 0.12%» per protocol.</w:t>
      </w:r>
    </w:p>
    <w:p>
      <w:r>
        <w:t>4. Peptic-ulcer prophylaxis where clinically indicated.</w:t>
      </w:r>
    </w:p>
    <w:p>
      <w:r>
        <w:t>5. Deep-vein-thrombosis prophylaxis where clinically indicated.</w:t>
      </w:r>
    </w:p>
    <w:p>
      <w:r>
        <w:t>6. Subglottic secretion drainage, where that equipment is available.</w:t>
      </w:r>
    </w:p>
    <w:p>
      <w:r>
        <w:t>7. Hand hygiene before and after any contact with the ventilator circuit.</w:t>
      </w:r>
    </w:p>
    <w:p>
      <w:r>
        <w:t>Where «Hospital Name» does not provide mechanical ventilation, this bundle is a recorded absence against the service directory -- it is not copied into this SOP as if the service existed.</w:t>
      </w:r>
    </w:p>
    <w:p>
      <w:pPr>
        <w:pStyle w:val="Heading2"/>
      </w:pPr>
      <w:r>
        <w:t>Prevent catheter-linked blood stream infection (CLABSI)</w:t>
      </w:r>
    </w:p>
    <w:p>
      <w:r>
        <w:t>A central line gives bacteria a direct route into the bloodstream -- every extra day it stays in without being needed, and every time it is accessed without a clean hub, is another chance for that route to be used.</w:t>
      </w:r>
    </w:p>
    <w:p>
      <w:r>
        <w:t>Where central lines are inserted, «Hospital Name» prevents CLABSI through a central-line insertion-and-maintenance bundle:</w:t>
      </w:r>
    </w:p>
    <w:p>
      <w:r>
        <w:t>1. Hand hygiene and maximal sterile barrier precautions for insertion.</w:t>
      </w:r>
    </w:p>
    <w:p>
      <w:r>
        <w:t>2. Chlorhexidine-based skin antisepsis at the insertion site.</w:t>
      </w:r>
    </w:p>
    <w:p>
      <w:r>
        <w:t>3. Careful site selection -- the subclavian site is preferred where clinically appropriate, and the femoral site is avoided where possible.</w:t>
      </w:r>
    </w:p>
    <w:p>
      <w:r>
        <w:t>4. A daily review of whether the line is still necessary, with removal as soon as it is not.</w:t>
      </w:r>
    </w:p>
    <w:p>
      <w:r>
        <w:t>5. Standardised dressing changes using aseptic technique.</w:t>
      </w:r>
    </w:p>
    <w:p>
      <w:r>
        <w:t>6. A hub or port scrub before every access.</w:t>
      </w:r>
    </w:p>
    <w:p>
      <w:r>
        <w:t>Where «Hospital Name» does not insert central lines, this is a recorded absence against the service directory. Peripheral IV lines follow this hospital's general aseptic insertion-and-maintenance bundle used for safe injection and infusion practice.</w:t>
      </w:r>
    </w:p>
    <w:p>
      <w:pPr>
        <w:pStyle w:val="Heading2"/>
      </w:pPr>
      <w:r>
        <w:t>Prevent surgical site infection (SSI)</w:t>
      </w:r>
    </w:p>
    <w:p>
      <w:r>
        <w:t>SSI prevention is not one decision made in the operating theatre -- it is a chain of small decisions before, during and after surgery, and the chain only holds if every link is actually done.</w:t>
      </w:r>
    </w:p>
    <w:p>
      <w:r>
        <w:t>«Hospital Name» prevents SSI through measures taken before, during and after surgery.</w:t>
      </w:r>
    </w:p>
    <w:p>
      <w:r>
        <w:t>Pre-operative: antibiotic prophylaxis is given within «60 minutes» before incision, following this hospital's antimicrobial usage policy; the surgical site is prepared with «chlorhexidine-alcohol or povidone-iodine»; the patient bathes or showers before surgery where feasible; and routine hair removal is avoided, using clippers rather than razors if it is required.</w:t>
      </w:r>
    </w:p>
    <w:p>
      <w:r>
        <w:t>Intra-operative: normothermia is maintained (core temperature at or above 36°C); glycaemic control is maintained in diabetic patients; sterile technique is used throughout, with instrument sterility following this hospital's sterilisation procedure.</w:t>
      </w:r>
    </w:p>
    <w:p>
      <w:r>
        <w:t>Post-operative: wound dressings are changed using aseptic, non-touch technique with hand hygiene; surveillance for SSI continues for «30 days» after surgery, or «90 days» for implant surgery; and SSI rates are reported to the Infection Control Committee.</w:t>
      </w:r>
    </w:p>
    <w:p>
      <w:pPr>
        <w:pStyle w:val="Heading2"/>
      </w:pPr>
      <w:r>
        <w:t>Protect staff from infection risk in their own work</w:t>
      </w:r>
    </w:p>
    <w:p>
      <w:r>
        <w:t>A staff member exposed to a patient's blood or body fluid is not a bystander in infection control -- they are themselves at risk, and protecting them is as much this hospital's job as protecting patients.</w:t>
      </w:r>
    </w:p>
    <w:p>
      <w:r>
        <w:t>«Hospital Name» implements occupational health and safety practices to reduce the risk of transmitting microorganisms among healthcare providers:</w:t>
      </w:r>
    </w:p>
    <w:p>
      <w:r>
        <w:t>1. Standard precautions and PPE use, as in this hospital's clinical infection-control protocol.</w:t>
      </w:r>
    </w:p>
    <w:p>
      <w:r>
        <w:t>2. Staff immunisation: hepatitis B vaccination with titre confirmation, annual influenza vaccination where available, and any outbreak-specific vaccination.</w:t>
      </w:r>
    </w:p>
    <w:p>
      <w:r>
        <w:t>3. Sharps safety: needle-free systems where feasible, safety-engineered devices, and no manual recapping.</w:t>
      </w:r>
    </w:p>
    <w:p>
      <w:r>
        <w:t>4. Fit-testing for N95 respirators for staff who work in airborne-precaution areas.</w:t>
      </w:r>
    </w:p>
    <w:p>
      <w:r>
        <w:t>5. A staff member with a transmissible infection -- active tuberculosis, chickenpox, measles, conjunctivitis -- is restricted from patient contact under written guidance.</w:t>
      </w:r>
    </w:p>
    <w:p>
      <w:r>
        <w:t>A sharps injury or a significant mucocutaneous exposure triggers the stop-work authority described below.</w:t>
      </w:r>
    </w:p>
    <w:p>
      <w:pPr>
        <w:pStyle w:val="Heading2"/>
      </w:pPr>
      <w:r>
        <w:t>Provide post-exposure prophylaxis to every staff member who needs it</w:t>
      </w:r>
    </w:p>
    <w:p>
      <w:r>
        <w:t>The window for post-exposure prophylaxis to actually work is measured in hours, not days -- a staff member who hesitates to report an exposure, or a hospital that cannot provide PEP immediately, can lose that window entirely.</w:t>
      </w:r>
    </w:p>
    <w:p>
      <w:r>
        <w:t>«Hospital Name» provides appropriate post-exposure prophylaxis (PEP) to every staff member after a significant exposure -- a needlestick, a sharps injury, or a splash to a mucous membrane or non-intact skin from a source patient's blood or body fluid:</w:t>
      </w:r>
    </w:p>
    <w:p>
      <w:r>
        <w:t>1. Immediate first aid: wash the wound with soap and water, without squeezing it; flush an exposed mucous membrane with water.</w:t>
      </w:r>
    </w:p>
    <w:p>
      <w:r>
        <w:t>2. Report the incident to the «Infection Control Officer or the duty medical officer» within «1 hour».</w:t>
      </w:r>
    </w:p>
    <w:p>
      <w:r>
        <w:t>3. A risk assessment covers the source patient's status (HIV, hepatitis B, hepatitis C), the nature of the exposure, and the staff member's own vaccination status.</w:t>
      </w:r>
    </w:p>
    <w:p>
      <w:r>
        <w:t>4. PEP is started within «2 hours» for HIV (and no later than 72 hours); hepatitis B immunoglobulin or a booster dose is given where indicated.</w:t>
      </w:r>
    </w:p>
    <w:p>
      <w:r>
        <w:t>5. Counselling, a baseline blood draw, and follow-up testing at «6 weeks, 3 months and 6 months».</w:t>
      </w:r>
    </w:p>
    <w:p>
      <w:r>
        <w:t>6. Everything is documented confidentially in the staff member's own occupational-health record.</w:t>
      </w:r>
    </w:p>
    <w:p>
      <w:r>
        <w:t>PEP medicines are kept available «24 hours a day, 7 days a week», stocked in the «emergency pharmacy or the emergency department».</w:t>
      </w:r>
    </w:p>
    <w:p>
      <w:pPr>
        <w:pStyle w:val="Heading2"/>
      </w:pPr>
      <w:r>
        <w:t>Stop work immediately after a needlestick, sharps injury or significant exposure</w:t>
      </w:r>
    </w:p>
    <w:p>
      <w:r>
        <w:t>Finishing the task first and reporting an exposure later throws away exactly the hours in which first aid and PEP actually work -- the task can wait; the exposure cannot.</w:t>
      </w:r>
    </w:p>
    <w:p>
      <w:r>
        <w:t>Any staff member who sustains a needlestick injury, a sharps injury, or a significant splash exposure to blood or body fluid must stop the task immediately.</w:t>
      </w:r>
    </w:p>
    <w:p>
      <w:r>
        <w:t>Work does not resume until: first aid has been completed (washing with soap and water; flushing an exposed mucous membrane); the incident has been reported to the «Infection Control Officer or duty medical officer»; and PEP assessment has begun.</w:t>
      </w:r>
    </w:p>
    <w:p>
      <w:r>
        <w:t>The exposed staff member's patient-care responsibility is handed over to another qualified person for the duration of first aid and reporting. No disciplinary action follows from invoking this stop-work authority for a genuine exposure.</w:t>
      </w:r>
    </w:p>
    <w:p>
      <w:r>
        <w:t>The Infection Control Officer may also invoke this stop-work authority on their own initiative if a pattern of sharps injuries in one unit points to an unsafe device or procedure that needs investigating before it is used again.</w:t>
      </w:r>
    </w:p>
    <w:p>
      <w:pPr>
        <w:pStyle w:val="Heading1"/>
      </w:pPr>
      <w:r>
        <w:t>5. Records</w:t>
      </w:r>
    </w:p>
    <w:p>
      <w:r>
        <w:t>This SOP produces and maintains Records 1-7 (see the HIC.4 Records folder).</w:t>
      </w:r>
    </w:p>
    <w:p>
      <w:pPr>
        <w:pStyle w:val="Heading1"/>
      </w:pPr>
      <w:r>
        <w:t>6. Related SOPs</w:t>
      </w:r>
    </w:p>
    <w:p>
      <w:pPr>
        <w:pStyle w:val="ListParagraph"/>
      </w:pPr>
      <w:r>
        <w:t>Hospital's Infection Prevention and Control in Clinical Areas SOP (HIC.2)</w:t>
      </w:r>
    </w:p>
    <w:p>
      <w:pPr>
        <w:pStyle w:val="ListParagraph"/>
      </w:pPr>
      <w:r>
        <w:t>Hospital's Sterilisation and Disinfection SOP (HIC.6)</w:t>
      </w:r>
    </w:p>
    <w:p>
      <w:pPr>
        <w:pStyle w:val="ListParagraph"/>
      </w:pPr>
      <w:r>
        <w:t>Hospital's Infection Prevention and Control Surveillance SOP (HIC.5)</w:t>
      </w:r>
    </w:p>
    <w:p>
      <w:pPr>
        <w:pStyle w:val="Heading1"/>
      </w:pPr>
      <w:r>
        <w:t>7. Review</w:t>
      </w:r>
    </w:p>
    <w:p>
      <w:r>
        <w:t>This SOP is reviewed annually, or sooner if a CAUTI, VAP, CLABSI or SSI rate exceeds this hospital's own benchmark for two consecutive quarters, if a PEP timeline is found to have been missed, or if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Prevent catheter-associated urinary tract infection (CAUTI) — HIC.4.a</w:t>
      </w:r>
    </w:p>
    <w:p>
      <w:r>
        <w:rPr>
          <w:i/>
        </w:rPr>
        <w:t>Verified source(s):</w:t>
      </w:r>
    </w:p>
    <w:p>
      <w:pPr>
        <w:pStyle w:val="ListParagraph"/>
      </w:pPr>
      <w:r>
        <w:t xml:space="preserve">• </w:t>
      </w:r>
      <w:r>
        <w:t xml:space="preserve">Centers for Disease Control and Prevention. (2009, updated 2017). </w:t>
      </w:r>
      <w:hyperlink r:id="rId9">
        <w:r>
          <w:rPr>
            <w:color w:val="0563C1"/>
            <w:u w:val="single"/>
          </w:rPr>
          <w:t>Catheter-associated urinary tract infections (CAUTI) prevention guideline</w:t>
        </w:r>
      </w:hyperlink>
      <w:r>
        <w:t>. Atlanta, GA: CDC/HICPAC -- the source of the catheter insertion-and-maintenance bundle this hospital's CAUTI-prevention steps are built on.</w:t>
      </w:r>
    </w:p>
    <w:p>
      <w:pPr>
        <w:pStyle w:val="Heading2"/>
      </w:pPr>
      <w:r>
        <w:t>Prevent ventilator-associated pneumonia and related complications — HIC.4.b</w:t>
      </w:r>
    </w:p>
    <w:p>
      <w:pPr>
        <w:pStyle w:val="Heading2"/>
      </w:pPr>
      <w:r>
        <w:t>Prevent catheter-linked blood stream infection (CLABSI) — HIC.4.c</w:t>
      </w:r>
    </w:p>
    <w:p>
      <w:r>
        <w:rPr>
          <w:i/>
        </w:rPr>
        <w:t>Boundary with other standards:</w:t>
      </w:r>
    </w:p>
    <w:p>
      <w:pPr>
        <w:pStyle w:val="ListParagraph"/>
      </w:pPr>
      <w:r>
        <w:t>• General peripheral-IV and injection safe-practice is owned by HIC.2.d; this step is specific to central-line insertion and maintenance.</w:t>
      </w:r>
    </w:p>
    <w:p>
      <w:r>
        <w:rPr>
          <w:i/>
        </w:rPr>
        <w:t>Verified source(s):</w:t>
      </w:r>
    </w:p>
    <w:p>
      <w:pPr>
        <w:pStyle w:val="ListParagraph"/>
      </w:pPr>
      <w:r>
        <w:t xml:space="preserve">• </w:t>
      </w:r>
      <w:r>
        <w:t xml:space="preserve">Centers for Disease Control and Prevention. (2011). </w:t>
      </w:r>
      <w:hyperlink r:id="rId10">
        <w:r>
          <w:rPr>
            <w:color w:val="0563C1"/>
            <w:u w:val="single"/>
          </w:rPr>
          <w:t>Guidelines for the prevention of intravascular catheter-related infections</w:t>
        </w:r>
      </w:hyperlink>
      <w:r>
        <w:t>. Atlanta, GA: CDC/HICPAC -- the source of the central-line insertion-and-maintenance bundle this hospital's CLABSI-prevention steps are built on.</w:t>
      </w:r>
    </w:p>
    <w:p>
      <w:pPr>
        <w:pStyle w:val="Heading2"/>
      </w:pPr>
      <w:r>
        <w:t>Prevent surgical site infection (SSI) — HIC.4.d</w:t>
      </w:r>
    </w:p>
    <w:p>
      <w:r>
        <w:rPr>
          <w:i/>
        </w:rPr>
        <w:t>Boundary with other standards:</w:t>
      </w:r>
    </w:p>
    <w:p>
      <w:pPr>
        <w:pStyle w:val="ListParagraph"/>
      </w:pPr>
      <w:r>
        <w:t>• Instrument sterilisation itself is owned by HIC.6; this step is the surgical bundle that depends on instruments already being sterile.</w:t>
      </w:r>
    </w:p>
    <w:p>
      <w:r>
        <w:rPr>
          <w:i/>
        </w:rPr>
        <w:t>Verified source(s):</w:t>
      </w:r>
    </w:p>
    <w:p>
      <w:pPr>
        <w:pStyle w:val="ListParagraph"/>
      </w:pPr>
      <w:r>
        <w:t xml:space="preserve">• </w:t>
      </w:r>
      <w:r>
        <w:t xml:space="preserve">World Health Organization. (2018). </w:t>
      </w:r>
      <w:hyperlink r:id="rId11">
        <w:r>
          <w:rPr>
            <w:color w:val="0563C1"/>
            <w:u w:val="single"/>
          </w:rPr>
          <w:t>Global guidelines for the prevention of surgical site infection</w:t>
        </w:r>
      </w:hyperlink>
      <w:r>
        <w:t xml:space="preserve"> (2nd ed.). Geneva: WHO -- the source of the pre-/intra-/post-operative bundle this hospital's SSI-prevention steps are built on.</w:t>
      </w:r>
    </w:p>
    <w:p>
      <w:pPr>
        <w:pStyle w:val="Heading2"/>
      </w:pPr>
      <w:r>
        <w:t>Protect staff from infection risk in their own work — HIC.4.e</w:t>
      </w:r>
    </w:p>
    <w:p>
      <w:pPr>
        <w:pStyle w:val="Heading2"/>
      </w:pPr>
      <w:r>
        <w:t>Provide post-exposure prophylaxis to every staff member who needs it — HIC.4.f</w:t>
      </w:r>
    </w:p>
    <w:p>
      <w:r>
        <w:rPr>
          <w:i/>
        </w:rPr>
        <w:t>Verified source(s):</w:t>
      </w:r>
    </w:p>
    <w:p>
      <w:pPr>
        <w:pStyle w:val="ListParagraph"/>
      </w:pPr>
      <w:r>
        <w:t xml:space="preserve">• </w:t>
      </w:r>
      <w:r>
        <w:t xml:space="preserve">Centers for Disease Control and Prevention. (2005). </w:t>
      </w:r>
      <w:hyperlink r:id="rId12">
        <w:r>
          <w:rPr>
            <w:color w:val="0563C1"/>
            <w:u w:val="single"/>
          </w:rPr>
          <w:t>Updated U.S. Public Health Service guidelines for the management of occupational exposures to HBV, HCV, and HIV and recommendations for postexposure prophylaxis</w:t>
        </w:r>
      </w:hyperlink>
      <w:r>
        <w:t>. MMWR Recommendations and Reports, 54(RR-9). Atlanta, GA: CDC -- the internationally cited source this hospital's post-exposure-prophylaxis timelines and follow-up testing schedule are built on.</w:t>
      </w:r>
    </w:p>
    <w:p>
      <w:pPr>
        <w:pStyle w:val="Heading2"/>
      </w:pPr>
      <w:r>
        <w:t>Stop work immediately after a needlestick, sharps injury or significant exposure — HIC.4.e / HIC.4.f (stop-work authority)</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3">
        <w:r>
          <w:rPr>
            <w:color w:val="0563C1"/>
            <w:u w:val="single"/>
          </w:rPr>
          <w:t>NABH SHCO Accreditation Programme page</w:t>
        </w:r>
      </w:hyperlink>
      <w:r>
        <w:t>. Hospital Infection Control chapter, standard HIC.4.</w:t>
      </w:r>
    </w:p>
    <w:p>
      <w:pPr>
        <w:pStyle w:val="ListParagraph"/>
      </w:pPr>
      <w:r>
        <w:t xml:space="preserve">• </w:t>
      </w:r>
      <w:r>
        <w:t xml:space="preserve">Centers for Disease Control and Prevention. (2009, updated 2017). </w:t>
      </w:r>
      <w:hyperlink r:id="rId9">
        <w:r>
          <w:rPr>
            <w:color w:val="0563C1"/>
            <w:u w:val="single"/>
          </w:rPr>
          <w:t>Catheter-associated urinary tract infections (CAUTI) prevention guideline</w:t>
        </w:r>
      </w:hyperlink>
      <w:r>
        <w:t>. Atlanta, GA: CDC/HICPAC -- the source of the catheter insertion-and-maintenance bundle this hospital's CAUTI-prevention steps are built on.</w:t>
      </w:r>
    </w:p>
    <w:p>
      <w:pPr>
        <w:pStyle w:val="ListParagraph"/>
      </w:pPr>
      <w:r>
        <w:t xml:space="preserve">• </w:t>
      </w:r>
      <w:r>
        <w:t xml:space="preserve">Centers for Disease Control and Prevention. (2011). </w:t>
      </w:r>
      <w:hyperlink r:id="rId10">
        <w:r>
          <w:rPr>
            <w:color w:val="0563C1"/>
            <w:u w:val="single"/>
          </w:rPr>
          <w:t>Guidelines for the prevention of intravascular catheter-related infections</w:t>
        </w:r>
      </w:hyperlink>
      <w:r>
        <w:t>. Atlanta, GA: CDC/HICPAC -- the source of the central-line insertion-and-maintenance bundle this hospital's CLABSI-prevention steps are built on.</w:t>
      </w:r>
    </w:p>
    <w:p>
      <w:pPr>
        <w:pStyle w:val="ListParagraph"/>
      </w:pPr>
      <w:r>
        <w:t xml:space="preserve">• </w:t>
      </w:r>
      <w:r>
        <w:t xml:space="preserve">World Health Organization. (2018). </w:t>
      </w:r>
      <w:hyperlink r:id="rId11">
        <w:r>
          <w:rPr>
            <w:color w:val="0563C1"/>
            <w:u w:val="single"/>
          </w:rPr>
          <w:t>Global guidelines for the prevention of surgical site infection</w:t>
        </w:r>
      </w:hyperlink>
      <w:r>
        <w:t xml:space="preserve"> (2nd ed.). Geneva: WHO -- the source of the pre-/intra-/post-operative bundle this hospital's SSI-prevention steps are built on.</w:t>
      </w:r>
    </w:p>
    <w:p>
      <w:pPr>
        <w:pStyle w:val="ListParagraph"/>
      </w:pPr>
      <w:r>
        <w:t xml:space="preserve">• </w:t>
      </w:r>
      <w:r>
        <w:t xml:space="preserve">Centers for Disease Control and Prevention. (2005). </w:t>
      </w:r>
      <w:hyperlink r:id="rId12">
        <w:r>
          <w:rPr>
            <w:color w:val="0563C1"/>
            <w:u w:val="single"/>
          </w:rPr>
          <w:t>Updated U.S. Public Health Service guidelines for the management of occupational exposures to HBV, HCV, and HIV and recommendations for postexposure prophylaxis</w:t>
        </w:r>
      </w:hyperlink>
      <w:r>
        <w:t>. MMWR Recommendations and Reports, 54(RR-9). Atlanta, GA: CDC -- the internationally cited source this hospital's post-exposure-prophylaxis timelines and follow-up testing schedule are built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infection-control/hcp/cauti/" TargetMode="External"/><Relationship Id="rId10" Type="http://schemas.openxmlformats.org/officeDocument/2006/relationships/hyperlink" Target="https://cdc.gov/infection-control/hcp/intravascular-catheter-related-infections/introduction.html" TargetMode="External"/><Relationship Id="rId11" Type="http://schemas.openxmlformats.org/officeDocument/2006/relationships/hyperlink" Target="https://www.who.int/publications/i/item/9789241550475" TargetMode="External"/><Relationship Id="rId12" Type="http://schemas.openxmlformats.org/officeDocument/2006/relationships/hyperlink" Target="https://stacks.cdc.gov/view/cdc/7305" TargetMode="External"/><Relationship Id="rId13"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