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HRM.1.b — Staff are recruited against the recruitment procedure as documented.</w:t>
      </w:r>
    </w:p>
    <w:p>
      <w:r>
        <w:t>HRM.1 Record 02 — Clinical staff professional-registration verification log</w:t>
      </w:r>
    </w:p>
    <w:p/>
    <w:p/>
    <w:p/>
    <w:p>
      <w:r>
        <w:t>How to fill this in — column by column</w:t>
      </w:r>
    </w:p>
    <w:p>
      <w:pPr>
        <w:pStyle w:val="ListParagraph"/>
      </w:pPr>
      <w:r>
        <w:t>Candidate Name: The candidate for a doctor's or nurse's post.</w:t>
      </w:r>
    </w:p>
    <w:p>
      <w:pPr>
        <w:pStyle w:val="ListParagraph"/>
      </w:pPr>
      <w:r>
        <w:t>Role: Doctor or Nurse.</w:t>
      </w:r>
    </w:p>
    <w:p>
      <w:pPr>
        <w:pStyle w:val="ListParagraph"/>
      </w:pPr>
      <w:r>
        <w:t>Registration Body / Number: NMC/State Medical Council, or INC/State Nursing Council, and the registration number.</w:t>
      </w:r>
    </w:p>
    <w:p>
      <w:pPr>
        <w:pStyle w:val="ListParagraph"/>
      </w:pPr>
      <w:r>
        <w:t>Verification Date / Method: When and how it was verified (e.g. online register check, council confirmation letter).</w:t>
      </w:r>
    </w:p>
    <w:p>
      <w:pPr>
        <w:pStyle w:val="ListParagraph"/>
      </w:pPr>
      <w:r>
        <w:t>Status at Verification: Active / Lapsed / Suspended.</w:t>
      </w:r>
    </w:p>
    <w:p>
      <w:pPr>
        <w:pStyle w:val="ListParagraph"/>
      </w:pPr>
      <w:r>
        <w:t>Outcome: Offer made, or offer withheld with reason.</w:t>
      </w:r>
    </w:p>
    <w:p>
      <w: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p/>
    <w:p>
      <w:r>
        <w:t>Where this requirement comes from (verified, clickable sources)</w:t>
      </w:r>
    </w:p>
    <w:p>
      <w:pPr>
        <w:pStyle w:val="ListParagraph"/>
        <w:spacing w:after="240" w:before="80"/>
        <w:contextualSpacing w:val="0"/>
      </w:pPr>
      <w:r>
        <w:t xml:space="preserve">• National Accreditation Board for Hospitals and Healthcare Providers. (2022). Standards for Small Healthcare Organisations (3rd ed.). </w:t>
      </w:r>
      <w:hyperlink r:id="rId9">
        <w:r>
          <w:rPr>
            <w:color w:val="0563C1"/>
            <w:u w:val="single"/>
          </w:rPr>
          <w:t>NABH SHCO Accreditation Programme page</w:t>
        </w:r>
      </w:hyperlink>
      <w:r>
        <w:t>. Human Resource Management chapter, standard HRM.1.</w:t>
      </w:r>
    </w:p>
    <w:p>
      <w:pPr>
        <w:pStyle w:val="ListParagraph"/>
        <w:spacing w:after="240" w:before="80"/>
        <w:contextualSpacing w:val="0"/>
      </w:pPr>
      <w:r>
        <w:t xml:space="preserve">• National Medical Commission. (2023, May 10). </w:t>
      </w:r>
      <w:hyperlink r:id="rId10">
        <w:r>
          <w:rPr>
            <w:color w:val="0563C1"/>
            <w:u w:val="single"/>
          </w:rPr>
          <w:t>Registration of Medical Practitioners and Licence to Practice Medicine Regulations, 2023</w:t>
        </w:r>
      </w:hyperlink>
      <w:r>
        <w:t>. Under Regulation 8(iii), a practitioner whose registration lapses (e.g. renewal not applied for in time) "shall not be entitled to practice medicine" -- referenced here for verifying a doctor's current, active registration before appointment.</w:t>
      </w:r>
    </w:p>
    <w:p>
      <w:pPr>
        <w:pStyle w:val="ListParagraph"/>
        <w:spacing w:after="240" w:before="80"/>
        <w:contextualSpacing w:val="0"/>
      </w:pPr>
      <w:r>
        <w:t xml:space="preserve">• Government of India. (1947). </w:t>
      </w:r>
      <w:hyperlink r:id="rId11">
        <w:r>
          <w:rPr>
            <w:color w:val="0563C1"/>
            <w:u w:val="single"/>
          </w:rPr>
          <w:t>The Indian Nursing Council Act, 1947</w:t>
        </w:r>
      </w:hyperlink>
      <w:r>
        <w:t>. Section 11(1)(b) provides that no person may be enrolled on a State nursing register without a recognised nursing qualification -- referenced here for verifying a nurse's current State/Indian Nursing Council registration before appointment.</w:t>
      </w:r>
    </w:p>
    <w:tbl>
      <w:tblPr>
        <w:tblStyle w:val="TableGrid"/>
        <w:tblW w:type="auto" w:w="0"/>
        <w:tblLook w:firstColumn="1" w:firstRow="1" w:lastColumn="0" w:lastRow="0" w:noHBand="0" w:noVBand="1" w:val="04A0"/>
      </w:tblPr>
      <w:tblGrid>
        <w:gridCol w:w="8640"/>
      </w:tblGrid>
      <w:tr>
        <w:tc>
          <w:tcPr>
            <w:tcW w:type="dxa" w:w="8640"/>
          </w:tcPr>
          <w:p>
            <w:r>
              <w:rPr>
                <w:b/>
              </w:rPr>
              <w:t>What is this record, in plain terms?</w:t>
            </w:r>
          </w:p>
          <w:p>
            <w:r>
              <w:t>This record is the proof that every doctor or nurse appointed was actually registered and in active standing with the relevant professional council at the time of appointment, not just assumed to be based on a stated qualification.</w:t>
            </w:r>
          </w:p>
        </w:tc>
      </w:tr>
    </w:tbl>
    <w:p/>
    <w:tbl>
      <w:tblPr>
        <w:tblStyle w:val="TableGrid"/>
        <w:tblW w:type="auto" w:w="0"/>
        <w:tblLook w:firstColumn="1" w:firstRow="1" w:lastColumn="0" w:lastRow="0" w:noHBand="0" w:noVBand="1" w:val="04A0"/>
      </w:tblPr>
      <w:tblGrid>
        <w:gridCol w:w="8640"/>
      </w:tblGrid>
      <w:tr>
        <w:tc>
          <w:tcPr>
            <w:tcW w:type="dxa" w:w="8640"/>
          </w:tcPr>
          <w:p>
            <w:r>
              <w:rPr>
                <w:b/>
              </w:rPr>
              <w:t>A real example of when you'd use this</w:t>
            </w:r>
          </w:p>
          <w:p>
            <w:r>
              <w:t>The HR In-Charge logs this check before every clinical offer is made. The worked example shows a nurse candidate's registration confirmed active before the offer.</w:t>
            </w:r>
          </w:p>
        </w:tc>
      </w:tr>
    </w:tbl>
    <w:p/>
    <w:tbl>
      <w:tblPr>
        <w:tblStyle w:val="TableGrid"/>
        <w:tblW w:type="auto" w:w="0"/>
        <w:tblLook w:firstColumn="1" w:firstRow="1" w:lastColumn="0" w:lastRow="0" w:noHBand="0" w:noVBand="1" w:val="04A0"/>
      </w:tblPr>
      <w:tblGrid>
        <w:gridCol w:w="8640"/>
      </w:tblGrid>
      <w:tr>
        <w:tc>
          <w:tcPr>
            <w:tcW w:type="dxa" w:w="8640"/>
          </w:tcPr>
          <w:p>
            <w:r>
              <w:rPr>
                <w:b/>
              </w:rPr>
              <w:t>Why does NABH ask for this?</w:t>
            </w:r>
          </w:p>
          <w:p>
            <w:r>
              <w:t>A clinical staff member who is not currently registered is not legally entitled to practise, regardless of their qualifications — this record is the evidence that check actually happens, every time, before appointment.</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rPr>
          <w:cantSplit/>
        </w:trPr>
        <w:tc>
          <w:tcPr>
            <w:tcW w:type="dxa" w:w="1440"/>
          </w:tcPr>
          <w:p>
            <w:r>
              <w:t>Candidate Name</w:t>
            </w:r>
          </w:p>
        </w:tc>
        <w:tc>
          <w:tcPr>
            <w:tcW w:type="dxa" w:w="1440"/>
          </w:tcPr>
          <w:p>
            <w:r>
              <w:t>Role</w:t>
            </w:r>
          </w:p>
        </w:tc>
        <w:tc>
          <w:tcPr>
            <w:tcW w:type="dxa" w:w="1440"/>
          </w:tcPr>
          <w:p>
            <w:r>
              <w:t>Registration Body / Number</w:t>
            </w:r>
          </w:p>
        </w:tc>
        <w:tc>
          <w:tcPr>
            <w:tcW w:type="dxa" w:w="1440"/>
          </w:tcPr>
          <w:p>
            <w:r>
              <w:t>Verification Date / Method</w:t>
            </w:r>
          </w:p>
        </w:tc>
        <w:tc>
          <w:tcPr>
            <w:tcW w:type="dxa" w:w="1440"/>
          </w:tcPr>
          <w:p>
            <w:r>
              <w:t>Status at Verification</w:t>
            </w:r>
          </w:p>
        </w:tc>
        <w:tc>
          <w:tcPr>
            <w:tcW w:type="dxa" w:w="1440"/>
          </w:tcPr>
          <w:p>
            <w:r>
              <w:t>Outcome</w:t>
            </w:r>
          </w:p>
        </w:tc>
      </w:tr>
      <w:tr>
        <w:trPr>
          <w:cantSplit/>
        </w:trPr>
        <w:tc>
          <w:tcPr>
            <w:tcW w:type="dxa" w:w="1440"/>
            <w:shd w:val="clear" w:color="auto" w:fill="FFF2CC"/>
          </w:tcPr>
          <w:p>
            <w:r/>
          </w:p>
        </w:tc>
        <w:tc>
          <w:tcPr>
            <w:tcW w:type="dxa" w:w="1440"/>
            <w:shd w:val="clear" w:color="auto" w:fill="FFF2CC"/>
          </w:tcPr>
          <w:p>
            <w:r/>
          </w:p>
        </w:tc>
        <w:tc>
          <w:tcPr>
            <w:tcW w:type="dxa" w:w="1440"/>
            <w:shd w:val="clear" w:color="auto" w:fill="FFF2CC"/>
          </w:tcPr>
          <w:p>
            <w:r/>
          </w:p>
        </w:tc>
        <w:tc>
          <w:tcPr>
            <w:tcW w:type="dxa" w:w="1440"/>
            <w:shd w:val="clear" w:color="auto" w:fill="FFF2CC"/>
          </w:tcPr>
          <w:p>
            <w:r/>
          </w:p>
        </w:tc>
        <w:tc>
          <w:tcPr>
            <w:tcW w:type="dxa" w:w="1440"/>
            <w:shd w:val="clear" w:color="auto" w:fill="FFF2CC"/>
          </w:tcPr>
          <w:p>
            <w:r/>
          </w:p>
        </w:tc>
        <w:tc>
          <w:tcPr>
            <w:tcW w:type="dxa" w:w="1440"/>
            <w:shd w:val="clear" w:color="auto" w:fill="FFF2CC"/>
          </w:tcPr>
          <w:p>
            <w:r/>
          </w:p>
        </w:tc>
      </w:tr>
      <w:tr>
        <w:trPr>
          <w:cantSplit/>
        </w:trPr>
        <w:tc>
          <w:tcPr>
            <w:tcW w:type="dxa" w:w="1440"/>
            <w:shd w:val="clear" w:color="auto" w:fill="FFF2CC"/>
          </w:tcPr>
          <w:p>
            <w:r>
              <w:t>Priya Nair</w:t>
            </w:r>
          </w:p>
        </w:tc>
        <w:tc>
          <w:tcPr>
            <w:tcW w:type="dxa" w:w="1440"/>
            <w:shd w:val="clear" w:color="auto" w:fill="FFF2CC"/>
          </w:tcPr>
          <w:p>
            <w:r>
              <w:t>Nurse</w:t>
            </w:r>
          </w:p>
        </w:tc>
        <w:tc>
          <w:tcPr>
            <w:tcW w:type="dxa" w:w="1440"/>
            <w:shd w:val="clear" w:color="auto" w:fill="FFF2CC"/>
          </w:tcPr>
          <w:p>
            <w:r>
              <w:t>Kerala Nursing Council, Reg. No. 98421</w:t>
            </w:r>
          </w:p>
        </w:tc>
        <w:tc>
          <w:tcPr>
            <w:tcW w:type="dxa" w:w="1440"/>
            <w:shd w:val="clear" w:color="auto" w:fill="FFF2CC"/>
          </w:tcPr>
          <w:p>
            <w:r>
              <w:t>05-Feb-2026 — checked against State Nursing Council online register</w:t>
            </w:r>
          </w:p>
        </w:tc>
        <w:tc>
          <w:tcPr>
            <w:tcW w:type="dxa" w:w="1440"/>
            <w:shd w:val="clear" w:color="auto" w:fill="FFF2CC"/>
          </w:tcPr>
          <w:p>
            <w:r>
              <w:t>Active</w:t>
            </w:r>
          </w:p>
        </w:tc>
        <w:tc>
          <w:tcPr>
            <w:tcW w:type="dxa" w:w="1440"/>
            <w:shd w:val="clear" w:color="auto" w:fill="FFF2CC"/>
          </w:tcPr>
          <w:p>
            <w:r>
              <w:t>Offer made</w:t>
            </w:r>
          </w:p>
        </w:tc>
      </w:tr>
      <w:tr>
        <w:trPr>
          <w:cantSplit/>
        </w:trPr>
        <w:tc>
          <w:tcPr>
            <w:tcW w:type="dxa" w:w="1440"/>
          </w:tcPr>
          <w:p/>
        </w:tc>
        <w:tc>
          <w:tcPr>
            <w:tcW w:type="dxa" w:w="1440"/>
          </w:tcPr>
          <w:p/>
        </w:tc>
        <w:tc>
          <w:tcPr>
            <w:tcW w:type="dxa" w:w="1440"/>
          </w:tcPr>
          <w:p/>
        </w:tc>
        <w:tc>
          <w:tcPr>
            <w:tcW w:type="dxa" w:w="1440"/>
          </w:tcPr>
          <w:p/>
        </w:tc>
        <w:tc>
          <w:tcPr>
            <w:tcW w:type="dxa" w:w="1440"/>
          </w:tcPr>
          <w:p/>
        </w:tc>
        <w:tc>
          <w:tcPr>
            <w:tcW w:type="dxa" w:w="1440"/>
          </w:tcPr>
          <w:p/>
        </w:tc>
      </w:tr>
      <w:tr>
        <w:trPr>
          <w:cantSplit/>
        </w:trPr>
        <w:tc>
          <w:tcPr>
            <w:tcW w:type="dxa" w:w="1440"/>
          </w:tcPr>
          <w:p/>
        </w:tc>
        <w:tc>
          <w:tcPr>
            <w:tcW w:type="dxa" w:w="1440"/>
          </w:tcPr>
          <w:p/>
        </w:tc>
        <w:tc>
          <w:tcPr>
            <w:tcW w:type="dxa" w:w="1440"/>
          </w:tcPr>
          <w:p/>
        </w:tc>
        <w:tc>
          <w:tcPr>
            <w:tcW w:type="dxa" w:w="1440"/>
          </w:tcPr>
          <w:p/>
        </w:tc>
        <w:tc>
          <w:tcPr>
            <w:tcW w:type="dxa" w:w="1440"/>
          </w:tcPr>
          <w:p/>
        </w:tc>
        <w:tc>
          <w:tcPr>
            <w:tcW w:type="dxa" w:w="1440"/>
          </w:tcPr>
          <w:p/>
        </w:tc>
      </w:tr>
      <w:tr>
        <w:trPr>
          <w:cantSplit/>
        </w:trPr>
        <w:tc>
          <w:tcPr>
            <w:tcW w:type="dxa" w:w="1440"/>
          </w:tcPr>
          <w:p/>
        </w:tc>
        <w:tc>
          <w:tcPr>
            <w:tcW w:type="dxa" w:w="1440"/>
          </w:tcPr>
          <w:p/>
        </w:tc>
        <w:tc>
          <w:tcPr>
            <w:tcW w:type="dxa" w:w="1440"/>
          </w:tcPr>
          <w:p/>
        </w:tc>
        <w:tc>
          <w:tcPr>
            <w:tcW w:type="dxa" w:w="1440"/>
          </w:tcPr>
          <w:p/>
        </w:tc>
        <w:tc>
          <w:tcPr>
            <w:tcW w:type="dxa" w:w="1440"/>
          </w:tcPr>
          <w:p/>
        </w:tc>
        <w:tc>
          <w:tcPr>
            <w:tcW w:type="dxa" w:w="1440"/>
          </w:tcPr>
          <w:p/>
        </w:tc>
      </w:tr>
      <w:tr>
        <w:trPr>
          <w:cantSplit/>
        </w:trPr>
        <w:tc>
          <w:tcPr>
            <w:tcW w:type="dxa" w:w="1440"/>
          </w:tcPr>
          <w:p/>
        </w:tc>
        <w:tc>
          <w:tcPr>
            <w:tcW w:type="dxa" w:w="1440"/>
          </w:tcPr>
          <w:p/>
        </w:tc>
        <w:tc>
          <w:tcPr>
            <w:tcW w:type="dxa" w:w="1440"/>
          </w:tcPr>
          <w:p/>
        </w:tc>
        <w:tc>
          <w:tcPr>
            <w:tcW w:type="dxa" w:w="1440"/>
          </w:tcPr>
          <w:p/>
        </w:tc>
        <w:tc>
          <w:tcPr>
            <w:tcW w:type="dxa" w:w="1440"/>
          </w:tcPr>
          <w:p/>
        </w:tc>
        <w:tc>
          <w:tcPr>
            <w:tcW w:type="dxa" w:w="1440"/>
          </w:tcPr>
          <w:p/>
        </w:tc>
      </w:tr>
      <w:tr>
        <w:trPr>
          <w:cantSplit/>
        </w:trPr>
        <w:tc>
          <w:tcPr>
            <w:tcW w:type="dxa" w:w="1440"/>
          </w:tcPr>
          <w:p/>
        </w:tc>
        <w:tc>
          <w:tcPr>
            <w:tcW w:type="dxa" w:w="1440"/>
          </w:tcPr>
          <w:p/>
        </w:tc>
        <w:tc>
          <w:tcPr>
            <w:tcW w:type="dxa" w:w="1440"/>
          </w:tcPr>
          <w:p/>
        </w:tc>
        <w:tc>
          <w:tcPr>
            <w:tcW w:type="dxa" w:w="1440"/>
          </w:tcPr>
          <w:p/>
        </w:tc>
        <w:tc>
          <w:tcPr>
            <w:tcW w:type="dxa" w:w="1440"/>
          </w:tcPr>
          <w:p/>
        </w:tc>
        <w:tc>
          <w:tcPr>
            <w:tcW w:type="dxa" w:w="1440"/>
          </w:tcPr>
          <w:p/>
        </w:tc>
      </w:tr>
      <w:tr>
        <w:trPr>
          <w:cantSplit/>
        </w:trPr>
        <w:tc>
          <w:tcPr>
            <w:tcW w:type="dxa" w:w="1440"/>
          </w:tcPr>
          <w:p/>
        </w:tc>
        <w:tc>
          <w:tcPr>
            <w:tcW w:type="dxa" w:w="1440"/>
          </w:tcPr>
          <w:p/>
        </w:tc>
        <w:tc>
          <w:tcPr>
            <w:tcW w:type="dxa" w:w="1440"/>
          </w:tcPr>
          <w:p/>
        </w:tc>
        <w:tc>
          <w:tcPr>
            <w:tcW w:type="dxa" w:w="1440"/>
          </w:tcPr>
          <w:p/>
        </w:tc>
        <w:tc>
          <w:tcPr>
            <w:tcW w:type="dxa" w:w="1440"/>
          </w:tcPr>
          <w:p/>
        </w:tc>
        <w:tc>
          <w:tcPr>
            <w:tcW w:type="dxa" w:w="1440"/>
          </w:tcPr>
          <w:p/>
        </w:tc>
      </w:tr>
      <w:tr>
        <w:trPr>
          <w:cantSplit/>
        </w:trPr>
        <w:tc>
          <w:tcPr>
            <w:tcW w:type="dxa" w:w="1440"/>
          </w:tcPr>
          <w:p/>
        </w:tc>
        <w:tc>
          <w:tcPr>
            <w:tcW w:type="dxa" w:w="1440"/>
          </w:tcPr>
          <w:p/>
        </w:tc>
        <w:tc>
          <w:tcPr>
            <w:tcW w:type="dxa" w:w="1440"/>
          </w:tcPr>
          <w:p/>
        </w:tc>
        <w:tc>
          <w:tcPr>
            <w:tcW w:type="dxa" w:w="1440"/>
          </w:tcPr>
          <w:p/>
        </w:tc>
        <w:tc>
          <w:tcPr>
            <w:tcW w:type="dxa" w:w="1440"/>
          </w:tcPr>
          <w:p/>
        </w:tc>
        <w:tc>
          <w:tcPr>
            <w:tcW w:type="dxa" w:w="144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abh.co/programmes/small-healthcare-organisation-shco-accreditation-programme/" TargetMode="External"/><Relationship Id="rId10" Type="http://schemas.openxmlformats.org/officeDocument/2006/relationships/hyperlink" Target="https://nmc.org.in/page/rules-regulations-rules-regulations-nmc" TargetMode="External"/><Relationship Id="rId11" Type="http://schemas.openxmlformats.org/officeDocument/2006/relationships/hyperlink" Target="https://nhsrcindia.org/sites/default/files/2021-05/Indian%20Nursing%20Council%20Act-194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