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HRM.1.i — Disciplinary and grievance handling is carried out as per the documented procedure.</w:t>
      </w:r>
    </w:p>
    <w:p>
      <w:r>
        <w:t>HRM.1 Record 08 — Disciplinary proceedings register</w:t>
      </w:r>
    </w:p>
    <w:p/>
    <w:p/>
    <w:p/>
    <w:p>
      <w:r>
        <w:t>How to fill this in — column by column</w:t>
      </w:r>
    </w:p>
    <w:p>
      <w:pPr>
        <w:pStyle w:val="ListParagraph"/>
      </w:pPr>
      <w:r>
        <w:t>Case No.: Unique case number, assigned the same day as receipt.</w:t>
      </w:r>
    </w:p>
    <w:p>
      <w:pPr>
        <w:pStyle w:val="ListParagraph"/>
      </w:pPr>
      <w:r>
        <w:t>Date Logged: The date the matter was logged.</w:t>
      </w:r>
    </w:p>
    <w:p>
      <w:pPr>
        <w:pStyle w:val="ListParagraph"/>
      </w:pPr>
      <w:r>
        <w:t>Alleged Conduct: A brief, factual statement.</w:t>
      </w:r>
    </w:p>
    <w:p>
      <w:pPr>
        <w:pStyle w:val="ListParagraph"/>
      </w:pPr>
      <w:r>
        <w:t>Investigator / Timeline: Who is investigating and the stated deadline.</w:t>
      </w:r>
    </w:p>
    <w:p>
      <w:pPr>
        <w:pStyle w:val="ListParagraph"/>
      </w:pPr>
      <w:r>
        <w:t>Outcome / Closure Date: The decision and when the case was closed.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40" w:before="8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Human Resource Management chapter, standard HRM.1.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single log of every disciplinary matter, from logging through investigation to outcome and closure.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HR In-Charge opens an entry the day a matter is reported. The worked example shows a medication-protocol breach closed with a written warning within the stated 21-day timeline.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Without this register, a disciplinary matter cannot be shown to have followed a consistent, documented process at all — this record is the proof it did.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Case No.</w:t>
            </w:r>
          </w:p>
        </w:tc>
        <w:tc>
          <w:tcPr>
            <w:tcW w:type="dxa" w:w="1728"/>
          </w:tcPr>
          <w:p>
            <w:r>
              <w:t>Date Logged</w:t>
            </w:r>
          </w:p>
        </w:tc>
        <w:tc>
          <w:tcPr>
            <w:tcW w:type="dxa" w:w="1728"/>
          </w:tcPr>
          <w:p>
            <w:r>
              <w:t>Alleged Conduct</w:t>
            </w:r>
          </w:p>
        </w:tc>
        <w:tc>
          <w:tcPr>
            <w:tcW w:type="dxa" w:w="1728"/>
          </w:tcPr>
          <w:p>
            <w:r>
              <w:t>Investigator / Timeline</w:t>
            </w:r>
          </w:p>
        </w:tc>
        <w:tc>
          <w:tcPr>
            <w:tcW w:type="dxa" w:w="1728"/>
          </w:tcPr>
          <w:p>
            <w:r>
              <w:t>Outcome / Closure Date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DISC-2026-003</w:t>
            </w:r>
          </w:p>
        </w:tc>
        <w:tc>
          <w:tcPr>
            <w:tcW w:type="dxa" w:w="1728"/>
            <w:shd w:val="clear" w:color="auto" w:fill="FFF2CC"/>
          </w:tcPr>
          <w:p>
            <w:r>
              <w:t>14-Feb-2026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Alleged breach of medication-administration protocol</w:t>
            </w:r>
          </w:p>
        </w:tc>
        <w:tc>
          <w:tcPr>
            <w:tcW w:type="dxa" w:w="1728"/>
            <w:shd w:val="clear" w:color="auto" w:fill="FFF2CC"/>
          </w:tcPr>
          <w:p>
            <w:r>
              <w:t>Nursing Superintendent / 21 days (by 07-Mar-2026)</w:t>
            </w:r>
          </w:p>
        </w:tc>
        <w:tc>
          <w:tcPr>
            <w:tcW w:type="dxa" w:w="1728"/>
            <w:shd w:val="clear" w:color="auto" w:fill="FFF2CC"/>
          </w:tcPr>
          <w:p>
            <w:r>
              <w:t>Written warning; closed 05-Mar-2026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