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HRM.2.c — Staff are appropriately trained based on their specific job description.</w:t>
      </w:r>
    </w:p>
    <w:p>
      <w:r>
        <w:t>HRM.2 Record 03 — Job-description training matrix and gap tracker</w:t>
      </w:r>
    </w:p>
    <w:p/>
    <w:p/>
    <w:p/>
    <w:p>
      <w:r>
        <w:t>How to fill this in — column by column</w:t>
      </w:r>
    </w:p>
    <w:p>
      <w:pPr>
        <w:pStyle w:val="ListParagraph"/>
      </w:pPr>
      <w:r>
        <w:t>Staff Category: The role/category from the job description template.</w:t>
      </w:r>
    </w:p>
    <w:p>
      <w:pPr>
        <w:pStyle w:val="ListParagraph"/>
      </w:pPr>
      <w:r>
        <w:t>Mandatory Competencies (From Job Description): The competencies this role's job description requires.</w:t>
      </w:r>
    </w:p>
    <w:p>
      <w:pPr>
        <w:pStyle w:val="ListParagraph"/>
      </w:pPr>
      <w:r>
        <w:t>Training Programme Mapped: Which training delivers each competency.</w:t>
      </w:r>
    </w:p>
    <w:p>
      <w:pPr>
        <w:pStyle w:val="ListParagraph"/>
      </w:pPr>
      <w:r>
        <w:t>Completion Status: Completed, scheduled, or gap identified.</w:t>
      </w:r>
    </w:p>
    <w:p>
      <w:pPr>
        <w:pStyle w:val="ListParagraph"/>
      </w:pPr>
      <w:r>
        <w:t>Quarterly Compliance Confirmed By Department Head (Date): Confirming the department head checked this.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maps every staff category's job description to the specific training it requires, and tracks whether that training was actually completed — not a generic session unrelated to the role.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updates this matrix before each training cycle and schedules any gap found. The worked example shows a lab technician's job-description competencies mapped and confirmed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training record that cannot be traced back to the specific job description it is meant to support is really just a generic attendance sheet — this record is what proves training was actually role-specific.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Mandatory Competencies (From Job Description)</w:t>
            </w:r>
          </w:p>
        </w:tc>
        <w:tc>
          <w:tcPr>
            <w:tcW w:type="dxa" w:w="1728"/>
          </w:tcPr>
          <w:p>
            <w:r>
              <w:t>Training Programme Mapped</w:t>
            </w:r>
          </w:p>
        </w:tc>
        <w:tc>
          <w:tcPr>
            <w:tcW w:type="dxa" w:w="1728"/>
          </w:tcPr>
          <w:p>
            <w:r>
              <w:t>Completion Status</w:t>
            </w:r>
          </w:p>
        </w:tc>
        <w:tc>
          <w:tcPr>
            <w:tcW w:type="dxa" w:w="1728"/>
          </w:tcPr>
          <w:p>
            <w:r>
              <w:t>Quarterly Compliance Confirmed By Department Head (Date)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Lab Technician</w:t>
            </w:r>
          </w:p>
        </w:tc>
        <w:tc>
          <w:tcPr>
            <w:tcW w:type="dxa" w:w="1728"/>
            <w:shd w:val="clear" w:color="auto" w:fill="FFF2CC"/>
          </w:tcPr>
          <w:p>
            <w:r>
              <w:t>Specimen handling, biomedical waste segregation, critical-result escalation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AAC.4 specimen-handling induction module; biomedical waste SOP training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Completed</w:t>
            </w:r>
          </w:p>
        </w:tc>
        <w:tc>
          <w:tcPr>
            <w:tcW w:type="dxa" w:w="1728"/>
            <w:shd w:val="clear" w:color="auto" w:fill="FFF2CC"/>
          </w:tcPr>
          <w:p>
            <w:r>
              <w:t>Lab In-Charge, 10-Apr-2026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