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HRM.2.e — Evaluation of training effectiveness is done by the organisation.</w:t>
      </w:r>
    </w:p>
    <w:p>
      <w:r>
        <w:t>HRM.2 Record 05 — Annual training effectiveness report</w:t>
      </w:r>
    </w:p>
    <w:p/>
    <w:p/>
    <w:p/>
    <w:p>
      <w:r>
        <w:t>How to fill this in — column by column</w:t>
      </w:r>
    </w:p>
    <w:p>
      <w:pPr>
        <w:pStyle w:val="ListParagraph"/>
      </w:pPr>
      <w:r>
        <w:t>Training Programme Evaluated: Which programme this evaluation covers.</w:t>
      </w:r>
    </w:p>
    <w:p>
      <w:pPr>
        <w:pStyle w:val="ListParagraph"/>
      </w:pPr>
      <w:r>
        <w:t>Evaluation Method Used: Knowledge check, supervisor observation, feedback form, or completion-rate review.</w:t>
      </w:r>
    </w:p>
    <w:p>
      <w:pPr>
        <w:pStyle w:val="ListParagraph"/>
      </w:pPr>
      <w:r>
        <w:t>Finding: What the evaluation actually found.</w:t>
      </w:r>
    </w:p>
    <w:p>
      <w:pPr>
        <w:pStyle w:val="ListParagraph"/>
      </w:pPr>
      <w:r>
        <w:t>Action Taken on Finding: What changed in the calendar, curriculum or delivery method as a result.</w:t>
      </w:r>
    </w:p>
    <w:p>
      <w:pPr>
        <w:pStyle w:val="ListParagraph"/>
      </w:pPr>
      <w:r>
        <w:t>Reviewed By / Date: The Medical Superintendent's review and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annual report proving training effectiveness was actually evaluated, with a finding and a real action taken — not just attendance recorded and filed.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compiles this report annually. The worked example shows a hand-hygiene session's measured compliance improvement, reviewed and retained unchanged for the next cycle.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training programme that is never evaluated for whether it actually changes practice is only ever proven by attendance, which proves nothing about whether it worked — this report is the evidence it did, or the trigger to change what isn't working.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Training Programme Evaluated</w:t>
            </w:r>
          </w:p>
        </w:tc>
        <w:tc>
          <w:tcPr>
            <w:tcW w:type="dxa" w:w="1728"/>
          </w:tcPr>
          <w:p>
            <w:r>
              <w:t>Evaluation Method Used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Action Taken on Finding</w:t>
            </w:r>
          </w:p>
        </w:tc>
        <w:tc>
          <w:tcPr>
            <w:tcW w:type="dxa" w:w="1728"/>
          </w:tcPr>
          <w:p>
            <w:r>
              <w:t>Reviewed By /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Hand hygiene refresher</w:t>
            </w:r>
          </w:p>
        </w:tc>
        <w:tc>
          <w:tcPr>
            <w:tcW w:type="dxa" w:w="1728"/>
            <w:shd w:val="clear" w:color="auto" w:fill="FFF2CC"/>
          </w:tcPr>
          <w:p>
            <w:r>
              <w:t>Supervisor observation, 4 weeks post-training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Compliance on direct observation rose from 68% to 91%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change needed — session retained in next year's calendar as-is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Superintendent, 20-Dec-2026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