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HRM.4.a — Performance appraisal is done for staff within the organisation and staff are made aware of the same at the time of induction.</w:t>
      </w:r>
    </w:p>
    <w:p>
      <w:r>
        <w:t>HRM.4 Record 03 — Appraisal schedule and completion tracker</w:t>
      </w:r>
    </w:p>
    <w:p/>
    <w:p/>
    <w:p/>
    <w:p>
      <w:r>
        <w:t>How to fill this in — column by column</w:t>
      </w:r>
    </w:p>
    <w:p>
      <w:pPr>
        <w:pStyle w:val="ListParagraph"/>
      </w:pPr>
      <w:r>
        <w:t>Employee Name: The staff member due or completed for this cycle.</w:t>
      </w:r>
    </w:p>
    <w:p>
      <w:pPr>
        <w:pStyle w:val="ListParagraph"/>
      </w:pPr>
      <w:r>
        <w:t>Cycle Due Date: When this appraisal was due (annual, or 3/6-month probation point).</w:t>
      </w:r>
    </w:p>
    <w:p>
      <w:pPr>
        <w:pStyle w:val="ListParagraph"/>
      </w:pPr>
      <w:r>
        <w:t>Completed Date: The date the review meeting actually took place.</w:t>
      </w:r>
    </w:p>
    <w:p>
      <w:pPr>
        <w:pStyle w:val="ListParagraph"/>
      </w:pPr>
      <w:r>
        <w:t>Form Filed Within 2 Weeks (Y/N): Whether the signed form was filed on time.</w:t>
      </w:r>
    </w:p>
    <w:p>
      <w:pPr>
        <w:pStyle w:val="ListParagraph"/>
      </w:pPr>
      <w:r>
        <w:t>Overdue (Y/N): Whether this appraisal is currently overdue.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  <w:spacing w:after="240" w:before="80"/>
        <w:contextualSpacing w:val="0"/>
      </w:pPr>
      <w:r>
        <w:t xml:space="preserve">• 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Human Resource Management chapter, standard HRM.4.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is the master schedule the HR In-Charge checks monthly to confirm no active staff member is overdue for appraisal, and that completed forms were filed within two weeks of the review meeting.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The HR In-Charge updates this schedule monthly. The worked example shows Asha Kumari's annual appraisal completed slightly ahead of the due date, with the form filed on time.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Without a tracked schedule, appraisal intervals drift silently until a staff member has gone well over a year with no review on file — NABH checks this record because it is what makes the stated interval actually enforceable.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</w:trPr>
        <w:tc>
          <w:tcPr>
            <w:tcW w:type="dxa" w:w="1728"/>
          </w:tcPr>
          <w:p>
            <w:r>
              <w:t>Employee Name</w:t>
            </w:r>
          </w:p>
        </w:tc>
        <w:tc>
          <w:tcPr>
            <w:tcW w:type="dxa" w:w="1728"/>
          </w:tcPr>
          <w:p>
            <w:r>
              <w:t>Cycle Due Date</w:t>
            </w:r>
          </w:p>
        </w:tc>
        <w:tc>
          <w:tcPr>
            <w:tcW w:type="dxa" w:w="1728"/>
          </w:tcPr>
          <w:p>
            <w:r>
              <w:t>Completed Date</w:t>
            </w:r>
          </w:p>
        </w:tc>
        <w:tc>
          <w:tcPr>
            <w:tcW w:type="dxa" w:w="1728"/>
          </w:tcPr>
          <w:p>
            <w:r>
              <w:t>Form Filed Within 2 Weeks (Y/N)</w:t>
            </w:r>
          </w:p>
        </w:tc>
        <w:tc>
          <w:tcPr>
            <w:tcW w:type="dxa" w:w="1728"/>
          </w:tcPr>
          <w:p>
            <w:r>
              <w:t>Overdue (Y/N)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>
              <w:t>Asha Kumari</w:t>
            </w:r>
          </w:p>
        </w:tc>
        <w:tc>
          <w:tcPr>
            <w:tcW w:type="dxa" w:w="1728"/>
            <w:shd w:val="clear" w:color="auto" w:fill="FFF2CC"/>
          </w:tcPr>
          <w:p>
            <w:r>
              <w:t>05-Jan-2027 (annual)</w:t>
            </w:r>
          </w:p>
        </w:tc>
        <w:tc>
          <w:tcPr>
            <w:tcW w:type="dxa" w:w="1728"/>
            <w:shd w:val="clear" w:color="auto" w:fill="FFF2CC"/>
          </w:tcPr>
          <w:p>
            <w:r>
              <w:t>28-Dec-2026</w:t>
            </w:r>
          </w:p>
        </w:tc>
        <w:tc>
          <w:tcPr>
            <w:tcW w:type="dxa" w:w="1728"/>
            <w:shd w:val="clear" w:color="auto" w:fill="FFF2CC"/>
          </w:tcPr>
          <w:p>
            <w:r>
              <w:t>Y</w:t>
            </w:r>
          </w:p>
        </w:tc>
        <w:tc>
          <w:tcPr>
            <w:tcW w:type="dxa" w:w="1728"/>
            <w:shd w:val="clear" w:color="auto" w:fill="FFF2CC"/>
          </w:tcPr>
          <w:p>
            <w:r>
              <w:t>N</w:t>
            </w:r>
          </w:p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