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HRM.5.a — Staff well-being is promoted through identification of health problems of the staff, including occupational health hazards, in accordance with the organisation's policy.</w:t>
      </w:r>
    </w:p>
    <w:p>
      <w:r>
        <w:t>HRM.5 Record 01 — Occupational health hazard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Department / Area: Where the hazard was identified.</w:t>
      </w:r>
    </w:p>
    <w:p>
      <w:pPr>
        <w:pStyle w:val="ListParagraph"/>
      </w:pPr>
      <w:r>
        <w:t>Hazard Identified: A brief, factual description.</w:t>
      </w:r>
    </w:p>
    <w:p>
      <w:pPr>
        <w:pStyle w:val="ListParagraph"/>
      </w:pPr>
      <w:r>
        <w:t>Date Identified / Reported By: When, and who reported it.</w:t>
      </w:r>
    </w:p>
    <w:p>
      <w:pPr>
        <w:pStyle w:val="ListParagraph"/>
      </w:pPr>
      <w:r>
        <w:t>Action Taken: What was done to address or mitigate the hazard.</w:t>
      </w:r>
    </w:p>
    <w:p>
      <w:pPr>
        <w:pStyle w:val="ListParagraph"/>
      </w:pPr>
      <w:r>
        <w:t>Status / Review Date: Open, mitigated, or closed, and the next review date.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40" w:before="8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single register of every occupational hazard identified across the hospital, what was done about it, and whether it is still open.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Department heads report hazards as they're found; the HR In-Charge logs and tracks them. The worked example shows a radiation-exposure hazard mitigated with equipment and monitoring.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hazard that is never written down cannot be shown to have been addressed at all — this register is the evidence hazard identification is a real, tracked process, not an assumption.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Department / Area</w:t>
            </w:r>
          </w:p>
        </w:tc>
        <w:tc>
          <w:tcPr>
            <w:tcW w:type="dxa" w:w="1728"/>
          </w:tcPr>
          <w:p>
            <w:r>
              <w:t>Hazard Identified</w:t>
            </w:r>
          </w:p>
        </w:tc>
        <w:tc>
          <w:tcPr>
            <w:tcW w:type="dxa" w:w="1728"/>
          </w:tcPr>
          <w:p>
            <w:r>
              <w:t>Date Identified / Reported By</w:t>
            </w:r>
          </w:p>
        </w:tc>
        <w:tc>
          <w:tcPr>
            <w:tcW w:type="dxa" w:w="1728"/>
          </w:tcPr>
          <w:p>
            <w:r>
              <w:t>Action Taken</w:t>
            </w:r>
          </w:p>
        </w:tc>
        <w:tc>
          <w:tcPr>
            <w:tcW w:type="dxa" w:w="1728"/>
          </w:tcPr>
          <w:p>
            <w:r>
              <w:t>Status / Review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Radiology</w:t>
            </w:r>
          </w:p>
        </w:tc>
        <w:tc>
          <w:tcPr>
            <w:tcW w:type="dxa" w:w="1728"/>
            <w:shd w:val="clear" w:color="auto" w:fill="FFF2CC"/>
          </w:tcPr>
          <w:p>
            <w:r>
              <w:t>Staff proximity to scatter radiation during portable X-ray procedures</w:t>
            </w:r>
          </w:p>
        </w:tc>
        <w:tc>
          <w:tcPr>
            <w:tcW w:type="dxa" w:w="1728"/>
            <w:shd w:val="clear" w:color="auto" w:fill="FFF2CC"/>
          </w:tcPr>
          <w:p>
            <w:r>
              <w:t>14-Feb-2026, reported by Radiographer</w:t>
            </w:r>
          </w:p>
        </w:tc>
        <w:tc>
          <w:tcPr>
            <w:tcW w:type="dxa" w:w="1728"/>
            <w:shd w:val="clear" w:color="auto" w:fill="FFF2CC"/>
          </w:tcPr>
          <w:p>
            <w:r>
              <w:t>Lead apron stock increased; dosimeter badges issued</w:t>
            </w:r>
          </w:p>
        </w:tc>
        <w:tc>
          <w:tcPr>
            <w:tcW w:type="dxa" w:w="1728"/>
            <w:shd w:val="clear" w:color="auto" w:fill="FFF2CC"/>
          </w:tcPr>
          <w:p>
            <w:r>
              <w:t>Mitigated — reviewed 14-Aug-2026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