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HRM.8.d — The requisite services to be provided by the nursing staff are known to them as well as the various departments/units of the organisation.</w:t>
      </w:r>
    </w:p>
    <w:p>
      <w:r>
        <w:t>HRM.8 Record 04 — Unit service briefing and nurse list reconciliation</w:t>
      </w:r>
    </w:p>
    <w:p/>
    <w:p/>
    <w:p/>
    <w:p>
      <w:r>
        <w:t>How to fill this in — column by column</w:t>
      </w:r>
    </w:p>
    <w:p>
      <w:pPr>
        <w:pStyle w:val="ListParagraph"/>
      </w:pPr>
      <w:r>
        <w:t>Nurse Name / Ward or Unit: Who was briefed, and for which unit.</w:t>
      </w:r>
    </w:p>
    <w:p>
      <w:pPr>
        <w:pStyle w:val="ListParagraph"/>
      </w:pPr>
      <w:r>
        <w:t>Briefing Date: When the unit induction briefing happened.</w:t>
      </w:r>
    </w:p>
    <w:p>
      <w:pPr>
        <w:pStyle w:val="ListParagraph"/>
      </w:pPr>
      <w:r>
        <w:t>Topics Covered: Care standards, medication documentation, escalation pathway, handover, infection control.</w:t>
      </w:r>
    </w:p>
    <w:p>
      <w:pPr>
        <w:pStyle w:val="ListParagraph"/>
      </w:pPr>
      <w:r>
        <w:t>Privileges Match Unit Scope (Y/N): Confirmed by the ward in-charge.</w:t>
      </w:r>
    </w:p>
    <w:p>
      <w:pPr>
        <w:pStyle w:val="ListParagraph"/>
      </w:pPr>
      <w:r>
        <w:t>Quarterly Reconciliation With Central Register (Date): When the unit list was last matched against the master register.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proves every nurse was actually briefed on what their unit expects and that the unit's own nurse list was checked against the central privileging register.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ward in-charge completes this at induction and quarterly thereafter. The worked example shows a maternity ward nurse briefed and reconciled with no gap found.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privilege letter that never gets connected to what the ward actually tells the nurse to do leaves a real gap between what's on paper and what happens on the floor — this record closes that gap.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Nurse Name / Ward or Unit</w:t>
            </w:r>
          </w:p>
        </w:tc>
        <w:tc>
          <w:tcPr>
            <w:tcW w:type="dxa" w:w="1728"/>
          </w:tcPr>
          <w:p>
            <w:r>
              <w:t>Briefing Date</w:t>
            </w:r>
          </w:p>
        </w:tc>
        <w:tc>
          <w:tcPr>
            <w:tcW w:type="dxa" w:w="1728"/>
          </w:tcPr>
          <w:p>
            <w:r>
              <w:t>Topics Covered</w:t>
            </w:r>
          </w:p>
        </w:tc>
        <w:tc>
          <w:tcPr>
            <w:tcW w:type="dxa" w:w="1728"/>
          </w:tcPr>
          <w:p>
            <w:r>
              <w:t>Privileges Match Unit Scope (Y/N)</w:t>
            </w:r>
          </w:p>
        </w:tc>
        <w:tc>
          <w:tcPr>
            <w:tcW w:type="dxa" w:w="1728"/>
          </w:tcPr>
          <w:p>
            <w:r>
              <w:t>Quarterly Reconciliation With Central Register (Date)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Kavita Singh, Maternity Ward</w:t>
            </w:r>
          </w:p>
        </w:tc>
        <w:tc>
          <w:tcPr>
            <w:tcW w:type="dxa" w:w="1728"/>
            <w:shd w:val="clear" w:color="auto" w:fill="FFF2CC"/>
          </w:tcPr>
          <w:p>
            <w:r>
              <w:t>18-Feb-2026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Maternity care standards, medication documentation, escalation to on-call obstetrician, shift handover format, infection control practices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Reconciled 31-Mar-2026 — no discrepancy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