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Credentialing and Privileging of Para-Clinical Professionals Permitted to Provide Patient Care Without Supervision</w:t>
      </w:r>
    </w:p>
    <w:p>
      <w:r>
        <w:t>«Hospital Name» — SOP-HRM.9.a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SOP-HRM.9.a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identifies which para-clinical professionals -- pharmacists, laboratory technicians, radiographers, physiotherapists and other allied health staff -- are permitted to provide patient care or patient-facing services without supervision, verifies and documents their education, registration, training and experience, grants privileges matched to those credentials, and makes sure both the professional and the department know what services they are actually authorised to provide.</w:t>
            </w:r>
          </w:p>
        </w:tc>
      </w:tr>
    </w:tbl>
    <w:p/>
    <w:tbl>
      <w:tblPr>
        <w:tblStyle w:val="TableGrid"/>
        <w:tblW w:type="auto" w:w="0"/>
        <w:tblLook w:firstColumn="1" w:firstRow="1" w:lastColumn="0" w:lastRow="0" w:noHBand="0" w:noVBand="1" w:val="04A0"/>
      </w:tblPr>
      <w:tblGrid>
        <w:gridCol w:w="8640"/>
      </w:tblGrid>
      <w:tr>
        <w:tc>
          <w:tcPr>
            <w:tcW w:type="dxa" w:w="8640"/>
          </w:tcPr>
          <w:p>
            <w:r>
              <w:t>A radiographer's AERB authorisation is never actually confirmed before they start operating radiation equipment. This SOP is what any staff member can act on directly: that person does not operate the equipment unsupervised until the authorisation is verified -- no approval needed to stop and check.</w:t>
            </w:r>
          </w:p>
        </w:tc>
      </w:tr>
    </w:tbl>
    <w:p/>
    <w:tbl>
      <w:tblPr>
        <w:tblStyle w:val="TableGrid"/>
        <w:tblW w:type="auto" w:w="0"/>
        <w:tblLook w:firstColumn="1" w:firstRow="1" w:lastColumn="0" w:lastRow="0" w:noHBand="0" w:noVBand="1" w:val="04A0"/>
      </w:tblPr>
      <w:tblGrid>
        <w:gridCol w:w="8640"/>
      </w:tblGrid>
      <w:tr>
        <w:tc>
          <w:tcPr>
            <w:tcW w:type="dxa" w:w="8640"/>
          </w:tcPr>
          <w:p>
            <w:r>
              <w:t>We do this because a pharmacist's registration number that was never checked with the State Pharmacy Council, or a radiographer's AERB authorisation that was never confirmed, are both claims the hospital took on faith -- and for dispensing medicine or operating radiation equipment, faith is not a substitute for a verified, current authorisation.</w:t>
            </w:r>
          </w:p>
        </w:tc>
      </w:tr>
    </w:tbl>
    <w:p/>
    <w:p>
      <w:r>
        <w:t>To define how «Hospital Name» identifies para-clinical professionals permitted for unsupervised care, verifies and documents profession-specific credentials, grants matched privileges, and makes services known to the professional and the department.</w:t>
      </w:r>
    </w:p>
    <w:p>
      <w:pPr>
        <w:pStyle w:val="Heading1"/>
      </w:pPr>
      <w:r>
        <w:t>2. Scope</w:t>
      </w:r>
    </w:p>
    <w:p>
      <w:r>
        <w:t>so every para-clinical professional providing unsupervised, patient-facing services -- not just doctors and nurses -- is covered by the same verified register.</w:t>
      </w:r>
    </w:p>
    <w:p>
      <w:r>
        <w:t>Applies to every para-clinical professional who provides patient care or patient-facing services without supervision: pharmacists, laboratory technicians, radiographers, physiotherapists, dieticians, respiratory therapists and other allied health staff whose role requires independent practice authority.</w:t>
      </w:r>
    </w:p>
    <w:p>
      <w:pPr>
        <w:pStyle w:val="Heading1"/>
      </w:pPr>
      <w:r>
        <w:t>3. Responsibility</w:t>
      </w:r>
    </w:p>
    <w:p>
      <w:r>
        <w:t>a privilege granted without verified credentials, or a lapsed statutory authorisation nobody catches, is a legal and patient-safety failure, not a paperwork gap.</w:t>
      </w:r>
    </w:p>
    <w:p>
      <w:r>
        <w:rPr>
          <w:b/>
        </w:rPr>
        <w:t xml:space="preserve">Medical Superintendent: </w:t>
      </w:r>
      <w:r>
        <w:t>Chairs the Credentialing Committee and is accountable for the para-clinical privileging register.</w:t>
      </w:r>
    </w:p>
    <w:p>
      <w:r>
        <w:rPr>
          <w:b/>
        </w:rPr>
        <w:t xml:space="preserve">HR Manager: </w:t>
      </w:r>
      <w:r>
        <w:t>Collects and verifies credentials by profession, maintains credentialing files and the privileging register, and tracks registration renewal dates to initiate re-credentialing.</w:t>
      </w:r>
    </w:p>
    <w:p>
      <w:r>
        <w:rPr>
          <w:b/>
        </w:rPr>
        <w:t xml:space="preserve">Credentialing Committee: </w:t>
      </w:r>
      <w:r>
        <w:t>Reviews every application and grants, restricts or denies para-clinical privileges by written decision.</w:t>
      </w:r>
    </w:p>
    <w:p>
      <w:r>
        <w:rPr>
          <w:b/>
        </w:rPr>
        <w:t xml:space="preserve">Department Heads (Laboratory, Radiology, Pharmacy, Physiotherapy and others): </w:t>
      </w:r>
      <w:r>
        <w:t>Confirm privileges match department scope, brief new staff, and maintain unit staff lists.</w:t>
      </w:r>
    </w:p>
    <w:p>
      <w:r>
        <w:rPr>
          <w:b/>
        </w:rPr>
        <w:t xml:space="preserve">Quality Coordinator: </w:t>
      </w:r>
      <w:r>
        <w:t>Audits this SOP quarterly and tracks corrective action when credentialing gaps or lapsed registrations recur.</w:t>
      </w:r>
    </w:p>
    <w:p>
      <w:pPr>
        <w:pStyle w:val="Heading1"/>
      </w:pPr>
      <w:r>
        <w:t>4. What to do</w:t>
      </w:r>
    </w:p>
    <w:p>
      <w:pPr>
        <w:pStyle w:val="Heading2"/>
      </w:pPr>
      <w:r>
        <w:t>Identify para-clinical professionals permitted for unsupervised care</w:t>
      </w:r>
    </w:p>
    <w:p>
      <w:r>
        <w:t>A pharmacist, lab technician, radiographer or physiotherapist providing unsupervised, patient-facing care with no entry in any register is practising on assumption, and for a radiographer operating radiation equipment that assumption carries a real licensing risk, not just a documentation gap.</w:t>
      </w:r>
    </w:p>
    <w:p>
      <w:r>
        <w:t>The HR Manager, in consultation with relevant department heads, maintains the para-clinical privileging register. Each entry lists six things:</w:t>
      </w:r>
    </w:p>
    <w:p>
      <w:r>
        <w:t>1. Name and employee ID.</w:t>
      </w:r>
    </w:p>
    <w:p>
      <w:r>
        <w:t>2. Profession category.</w:t>
      </w:r>
    </w:p>
    <w:p>
      <w:r>
        <w:t>3. Statutory registration number and issuing body.</w:t>
      </w:r>
    </w:p>
    <w:p>
      <w:r>
        <w:t>4. Qualification.</w:t>
      </w:r>
    </w:p>
    <w:p>
      <w:r>
        <w:t>5. Dates of initial and last re-credentialing.</w:t>
      </w:r>
    </w:p>
    <w:p>
      <w:r>
        <w:t>6. Privileges granted.</w:t>
      </w:r>
    </w:p>
    <w:p>
      <w:r>
        <w:t>The register is available to department heads, with a current extract displayed in each para-clinical department (laboratory, radiology, pharmacy, physiotherapy).</w:t>
      </w:r>
    </w:p>
    <w:p>
      <w:pPr>
        <w:pStyle w:val="Heading2"/>
      </w:pPr>
      <w:r>
        <w:t>Verify, document and periodically update credentials by profession</w:t>
      </w:r>
    </w:p>
    <w:p>
      <w:r>
        <w:t>A pharmacist's registration number that was never checked with the State Pharmacy Council, or a radiographer's AERB authorisation that was never confirmed, are both claims the hospital took on faith -- and for dispensing medicine or operating radiation equipment, faith is not a substitute for a verified, current authorisation.</w:t>
      </w:r>
    </w:p>
    <w:p>
      <w:r>
        <w:t>At credentialing or privilege renewal, the HR Manager collects and verifies credentials specific to each profession:</w:t>
      </w:r>
    </w:p>
    <w:p>
      <w:r>
        <w:t>1. Pharmacists: pharmacy degree/diploma and State Pharmacy Council registration.</w:t>
      </w:r>
    </w:p>
    <w:p>
      <w:r>
        <w:t>2. Laboratory technicians: DMLT/B.Sc. MLT or equivalent and State Medical Faculty or board registration.</w:t>
      </w:r>
    </w:p>
    <w:p>
      <w:r>
        <w:t>3. Radiographers operating radiation-generating equipment: radiography qualification and AERB authorisation.</w:t>
      </w:r>
    </w:p>
    <w:p>
      <w:r>
        <w:t>4. Physiotherapists: BPT/MPT and State Council of Physiotherapy registration.</w:t>
      </w:r>
    </w:p>
    <w:p>
      <w:r>
        <w:t>Verification is documented with the date, the source contacted, and the verifying officer. Registration renewal dates are tracked, and re-verification begins sixty days before expiry.</w:t>
      </w:r>
    </w:p>
    <w:p>
      <w:r>
        <w:t>Re-credentialing is conducted every two years or sooner when scope of practice changes, registration is renewed, or a significant event requires review.</w:t>
      </w:r>
    </w:p>
    <w:p>
      <w:pPr>
        <w:pStyle w:val="Heading2"/>
      </w:pPr>
      <w:r>
        <w:t>Grant privileges matched to verified credentials</w:t>
      </w:r>
    </w:p>
    <w:p>
      <w:r>
        <w:t>Allowing a lab technician to run a test panel they were never privileged for, or a radiographer to operate a modality outside their AERB authorisation, is the exact failure this standard exists to prevent -- the privilege letter has to say exactly what each professional may do, not leave it to be inferred from their job title.</w:t>
      </w:r>
    </w:p>
    <w:p>
      <w:r>
        <w:t>The Credentialing Committee -- chaired by the Medical Superintendent with the HR Manager and the relevant department head -- reviews each application and grants privileges by written privilege letter stating four things:</w:t>
      </w:r>
    </w:p>
    <w:p>
      <w:r>
        <w:t>1. The tests, procedures, equipment or services the professional may perform independently.</w:t>
      </w:r>
    </w:p>
    <w:p>
      <w:r>
        <w:t>2. Patient categories, where applicable.</w:t>
      </w:r>
    </w:p>
    <w:p>
      <w:r>
        <w:t>3. Any restrictions.</w:t>
      </w:r>
    </w:p>
    <w:p>
      <w:r>
        <w:t>4. A validity period of maximum two years.</w:t>
      </w:r>
    </w:p>
    <w:p>
      <w:r>
        <w:t>Profession-specific privileges are named explicitly:</w:t>
      </w:r>
    </w:p>
    <w:p>
      <w:r>
        <w:t>1. Pharmacist: dispensing categories.</w:t>
      </w:r>
    </w:p>
    <w:p>
      <w:r>
        <w:t>2. Laboratory technician: test panels and analyser categories.</w:t>
      </w:r>
    </w:p>
    <w:p>
      <w:r>
        <w:t>3. Radiographer: AERB-authorised modalities and equipment.</w:t>
      </w:r>
    </w:p>
    <w:p>
      <w:r>
        <w:t>4. Physiotherapist: treatment modalities and patient categories.</w:t>
      </w:r>
    </w:p>
    <w:p>
      <w:r>
        <w:t>Privileges not supported by verified credentials are not granted; a professional whose registration lapses is suspended from the register pending renewal verification.</w:t>
      </w:r>
    </w:p>
    <w:p>
      <w:pPr>
        <w:pStyle w:val="Heading2"/>
      </w:pPr>
      <w:r>
        <w:t>Make requisite services known to the professional and the department</w:t>
      </w:r>
    </w:p>
    <w:p>
      <w:r>
        <w:t>A professional who holds a valid privilege letter but was never actually briefed on the department's own quality standards, turnaround times or safety requirements can end up working outside what the department really expects, even while technically privileged.</w:t>
      </w:r>
    </w:p>
    <w:p>
      <w:r>
        <w:t>Each privilege letter is cross-referenced to the service directory and the department scope statement; the department head confirms the professional's privileges match the services the department claims to provide.</w:t>
      </w:r>
    </w:p>
    <w:p>
      <w:r>
        <w:t>At department induction or when a new professional joins, the department head briefs the person on four things:</w:t>
      </w:r>
    </w:p>
    <w:p>
      <w:r>
        <w:t>1. Services, tests, procedures or treatments the department provides and those referred elsewhere.</w:t>
      </w:r>
    </w:p>
    <w:p>
      <w:r>
        <w:t>2. Quality standards and turnaround times.</w:t>
      </w:r>
    </w:p>
    <w:p>
      <w:r>
        <w:t>3. Safety requirements -- radiation safety, biosafety, cytotoxic handling as applicable.</w:t>
      </w:r>
    </w:p>
    <w:p>
      <w:r>
        <w:t>4. Escalation pathways to the treating doctor.</w:t>
      </w:r>
    </w:p>
    <w:p>
      <w:r>
        <w:t>The briefing is recorded and filed in the credentialing file; department heads match their unit staff list to the central privileging register quarterly.</w:t>
      </w:r>
    </w:p>
    <w:p>
      <w:pPr>
        <w:pStyle w:val="Heading2"/>
      </w:pPr>
      <w:r>
        <w:t>Know when to stop — and who is responsible for acting</w:t>
      </w:r>
    </w:p>
    <w:p>
      <w:r>
        <w:t>A professional whose statutory registration has lapsed and who keeps providing unsupervised, patient-facing services anyway is a real, immediate risk -- not a paperwork backlog -- and this step is deliberately written so any staff member can act on it.</w:t>
      </w:r>
    </w:p>
    <w:p>
      <w:r>
        <w:t>Any staff member who cannot confirm that a para-clinical professional has completed credentialing and privileging does not allow that professional to provide unsupervised patient care or patient-facing services -- including independent test reporting, radiation exposure, physiotherapy treatment or medication dispensing beyond verified privileges.</w:t>
      </w:r>
    </w:p>
    <w:p>
      <w:r>
        <w:t>They make sure the service continues under another credentialed professional or under supervised care as clinically appropriate, and report to the department head or HR Manager immediately, the same shift.</w:t>
      </w:r>
    </w:p>
    <w:p>
      <w:r>
        <w:t>For a professional whose statutory registration or council enrolment has lapsed: the professional is suspended from the privileging register pending verification, is not assigned unsupervised duties until registration is confirmed current, and the Medical Superintendent and the relevant department head are notified the same working day.</w:t>
      </w:r>
    </w:p>
    <w:p>
      <w:r>
        <w:t>No approval is needed to take this step. Patient safety and statutory registration requirements override convenience.</w:t>
      </w:r>
    </w:p>
    <w:p>
      <w:pPr>
        <w:pStyle w:val="Heading1"/>
      </w:pPr>
      <w:r>
        <w:t>5. Records</w:t>
      </w:r>
    </w:p>
    <w:p>
      <w:r>
        <w:t>This SOP produces and maintains Records 1-4 (see the HRM.9 Records folder).</w:t>
      </w:r>
    </w:p>
    <w:p>
      <w:pPr>
        <w:pStyle w:val="Heading1"/>
      </w:pPr>
      <w:r>
        <w:t>6. Related SOPs</w:t>
      </w:r>
    </w:p>
    <w:p>
      <w:pPr>
        <w:pStyle w:val="ListParagraph"/>
      </w:pPr>
      <w:r>
        <w:t>Policy on Credentialing and Privileging of Para-Clinical Professionals (HRM.9)</w:t>
      </w:r>
    </w:p>
    <w:p>
      <w:pPr>
        <w:pStyle w:val="Heading1"/>
      </w:pPr>
      <w:r>
        <w:t>7. Review</w:t>
      </w:r>
    </w:p>
    <w:p>
      <w:r>
        <w:t>This SOP is reviewed at least annually by the Quality Coordinator together with the HR Manager, and sooner when statutory registration requirements for any para-clinical profession change, or an uncredentialed or unprivileged professional is found providing unsupervised services.</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para-clinical professionals permitted for unsupervised care — HRM.9.a</w:t>
      </w:r>
    </w:p>
    <w:p>
      <w:pPr>
        <w:pStyle w:val="Heading2"/>
      </w:pPr>
      <w:r>
        <w:t>Verify, document and periodically update credentials by profession — HRM.9.b</w:t>
      </w:r>
    </w:p>
    <w:p>
      <w:r>
        <w:rPr>
          <w:i/>
        </w:rPr>
        <w:t>Verified source(s):</w:t>
      </w:r>
    </w:p>
    <w:p>
      <w:pPr>
        <w:pStyle w:val="ListParagraph"/>
      </w:pPr>
      <w:r>
        <w:t xml:space="preserve">• </w:t>
      </w:r>
      <w:r>
        <w:t xml:space="preserve">Government of India. (1948, amended 2026). </w:t>
      </w:r>
      <w:hyperlink r:id="rId9">
        <w:r>
          <w:rPr>
            <w:color w:val="0563C1"/>
            <w:u w:val="single"/>
          </w:rPr>
          <w:t>The Pharmacy Act, 1948</w:t>
        </w:r>
      </w:hyperlink>
      <w:r>
        <w:t xml:space="preserve"> (Act No. 8 of 1948). Section 42 restricts compounding, preparing, mixing or dispensing medicine on prescription to a registered pharmacist. Referenced as the statutory basis for verifying a pharmacist's State Pharmacy Council registration before granting dispensing privileges.</w:t>
      </w:r>
    </w:p>
    <w:p>
      <w:pPr>
        <w:pStyle w:val="ListParagraph"/>
      </w:pPr>
      <w:r>
        <w:t xml:space="preserve">• </w:t>
      </w:r>
      <w:r>
        <w:t xml:space="preserve">Department of Atomic Energy, Government of India. (2004). </w:t>
      </w:r>
      <w:hyperlink r:id="rId10">
        <w:r>
          <w:rPr>
            <w:color w:val="0563C1"/>
            <w:u w:val="single"/>
          </w:rPr>
          <w:t>The Atomic Energy (Radiation Protection) Rules, 2004</w:t>
        </w:r>
      </w:hyperlink>
      <w:r>
        <w:t xml:space="preserve"> (G.S.R. 303). Rule 3(2) requires radiation-generating equipment to be operated only under a licence's terms; Rule 12(2) requires the licensee to ensure only individuals named in the licence handle the source; Rule 7(2)(e)(ii) conditions the licence on workers having appropriate radiation-safety training. Referenced as the statutory basis for naming and training-verifying a radiographer before granting equipment-operation privileges.</w:t>
      </w:r>
    </w:p>
    <w:p>
      <w:pPr>
        <w:pStyle w:val="Heading2"/>
      </w:pPr>
      <w:r>
        <w:t>Grant privileges matched to verified credentials — HRM.9.c</w:t>
      </w:r>
    </w:p>
    <w:p>
      <w:pPr>
        <w:pStyle w:val="Heading2"/>
      </w:pPr>
      <w:r>
        <w:t>Make requisite services known to the professional and the department — HRM.9.d</w:t>
      </w:r>
    </w:p>
    <w:p>
      <w:pPr>
        <w:pStyle w:val="Heading2"/>
      </w:pPr>
      <w:r>
        <w:t>Know when to stop — and who is responsible for acting — HRM.9.a</w:t>
      </w:r>
    </w:p>
    <w:p>
      <w:r>
        <w:rPr>
          <w:i/>
        </w:rPr>
        <w:t>Verified source(s):</w:t>
      </w:r>
    </w:p>
    <w:p>
      <w:pPr>
        <w:pStyle w:val="ListParagraph"/>
      </w:pPr>
      <w:r>
        <w:t xml:space="preserve">• </w:t>
      </w:r>
      <w:r>
        <w:t xml:space="preserve">Department of Atomic Energy, Government of India. (2004). </w:t>
      </w:r>
      <w:hyperlink r:id="rId10">
        <w:r>
          <w:rPr>
            <w:color w:val="0563C1"/>
            <w:u w:val="single"/>
          </w:rPr>
          <w:t>The Atomic Energy (Radiation Protection) Rules, 2004</w:t>
        </w:r>
      </w:hyperlink>
      <w:r>
        <w:t xml:space="preserve"> (G.S.R. 303). Rule 3(2) requires radiation-generating equipment to be operated only under a licence's terms; Rule 12(2) requires the licensee to ensure only individuals named in the licence handle the source; Rule 7(2)(e)(ii) conditions the licence on workers having appropriate radiation-safety training. Referenced as the statutory basis for naming and training-verifying a radiographer before granting equipment-operation privileges.</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Human Resource Management chapter, standard HRM.9.</w:t>
      </w:r>
    </w:p>
    <w:p>
      <w:pPr>
        <w:pStyle w:val="ListParagraph"/>
      </w:pPr>
      <w:r>
        <w:t xml:space="preserve">• </w:t>
      </w:r>
      <w:r>
        <w:t xml:space="preserve">Government of India. (1948, amended 2026). </w:t>
      </w:r>
      <w:hyperlink r:id="rId9">
        <w:r>
          <w:rPr>
            <w:color w:val="0563C1"/>
            <w:u w:val="single"/>
          </w:rPr>
          <w:t>The Pharmacy Act, 1948</w:t>
        </w:r>
      </w:hyperlink>
      <w:r>
        <w:t xml:space="preserve"> (Act No. 8 of 1948). Section 42 restricts compounding, preparing, mixing or dispensing medicine on prescription to a registered pharmacist. Referenced as the statutory basis for verifying a pharmacist's State Pharmacy Council registration before granting dispensing privileges.</w:t>
      </w:r>
    </w:p>
    <w:p>
      <w:pPr>
        <w:pStyle w:val="ListParagraph"/>
      </w:pPr>
      <w:r>
        <w:t xml:space="preserve">• </w:t>
      </w:r>
      <w:r>
        <w:t xml:space="preserve">Department of Atomic Energy, Government of India. (2004). </w:t>
      </w:r>
      <w:hyperlink r:id="rId10">
        <w:r>
          <w:rPr>
            <w:color w:val="0563C1"/>
            <w:u w:val="single"/>
          </w:rPr>
          <w:t>The Atomic Energy (Radiation Protection) Rules, 2004</w:t>
        </w:r>
      </w:hyperlink>
      <w:r>
        <w:t xml:space="preserve"> (G.S.R. 303). Rule 3(2) requires radiation-generating equipment to be operated only under a licence's terms; Rule 12(2) requires the licensee to ensure only individuals named in the licence handle the source; Rule 7(2)(e)(ii) conditions the licence on workers having appropriate radiation-safety training. Referenced as the statutory basis for naming and training-verifying a radiographer before granting equipment-operation privileges.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1364/1/a194808.pdf" TargetMode="External"/><Relationship Id="rId10" Type="http://schemas.openxmlformats.org/officeDocument/2006/relationships/hyperlink" Target="https://mgw3.aerb.gov.in/images/PDF/RPR2004.pdf" TargetMode="External"/><Relationship Id="rId11"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