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IMS.1.e — Processes for data collection are standardised and data is analysed to meet the information needs.</w:t>
      </w:r>
    </w:p>
    <w:p>
      <w:r>
        <w:t>IMS.1 Record 05 — Data-definition sheet and analysis-dissemination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data item has one standard definition that every department actually uses, and that analysis was actually sent to the stakeholder who needed it -- not a chart produced and left unseen.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data-definition sheet for "average length of stay" fixes its exact formula and source; the Q1 analysis is disseminated to management per the register's quarterly schedule.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If three departments each invent their own definition of the same data point, the numbers cannot honestly be added together or compared -- standardising the definition is what makes analysis possible at all.</w:t>
            </w:r>
          </w:p>
        </w:tc>
      </w:tr>
    </w:tbl>
    <w:p/>
    <w:p>
      <w:r>
        <w:t>How to fill this in — column by column</w:t>
      </w:r>
    </w:p>
    <w:p>
      <w:r>
        <w:t>Data Item: What is defined.</w:t>
      </w:r>
    </w:p>
    <w:p>
      <w:r>
        <w:t>Definition / Source / Collector: Standard definition.</w:t>
      </w:r>
    </w:p>
    <w:p>
      <w:r>
        <w:t>Analysis Frequency: Monthly/quarterly.</w:t>
      </w:r>
    </w:p>
    <w:p>
      <w:r>
        <w:t>Disseminated To / Date: Who received the analysis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Item</w:t>
            </w:r>
          </w:p>
        </w:tc>
        <w:tc>
          <w:tcPr>
            <w:tcW w:type="dxa" w:w="2160"/>
          </w:tcPr>
          <w:p>
            <w:r>
              <w:t>Definition / Source / Collector</w:t>
            </w:r>
          </w:p>
        </w:tc>
        <w:tc>
          <w:tcPr>
            <w:tcW w:type="dxa" w:w="2160"/>
          </w:tcPr>
          <w:p>
            <w:r>
              <w:t>Analysis Frequency</w:t>
            </w:r>
          </w:p>
        </w:tc>
        <w:tc>
          <w:tcPr>
            <w:tcW w:type="dxa" w:w="2160"/>
          </w:tcPr>
          <w:p>
            <w:r>
              <w:t>Disseminated To /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Average length of stay</w:t>
            </w:r>
          </w:p>
        </w:tc>
        <w:tc>
          <w:tcPr>
            <w:tcW w:type="dxa" w:w="2160"/>
            <w:shd w:val="clear" w:color="auto" w:fill="FFF2CC"/>
          </w:tcPr>
          <w:p>
            <w:r>
              <w:t>Total patient-days / discharges; source: EHR; collector: Medical Records Officer</w:t>
            </w:r>
          </w:p>
        </w:tc>
        <w:tc>
          <w:tcPr>
            <w:tcW w:type="dxa" w:w="2160"/>
            <w:shd w:val="clear" w:color="auto" w:fill="FFF2CC"/>
          </w:tcPr>
          <w:p>
            <w:r>
              <w:t>Quarterly</w:t>
            </w:r>
          </w:p>
        </w:tc>
        <w:tc>
          <w:tcPr>
            <w:tcW w:type="dxa" w:w="2160"/>
            <w:shd w:val="clear" w:color="auto" w:fill="FFF2CC"/>
          </w:tcPr>
          <w:p>
            <w:r>
              <w:t>Management — 10-Apr-2026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