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IMS.2.c — Authorised staff makes the entry in the medical record. The author of the entry can be identified.</w:t>
      </w:r>
    </w:p>
    <w:p>
      <w:r>
        <w:t>IMS.2 Record 03 — Authorised-writer list and shared-login check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only staff on the authorised list actually wrote in the record, and that no shared login was used -- not an assumption that only the right people have access.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quarterly access-log review confirms all EHR entries in the sample were made under individually identifiable logins, with no shared accounts found.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shared login or an unsupervised trainee's entry means nobody can say, with confidence, exactly who wrote what -- and that uncertainty undermines every entry in the record, not just the one in question.</w:t>
            </w:r>
          </w:p>
        </w:tc>
      </w:tr>
    </w:tbl>
    <w:p/>
    <w:p>
      <w:r>
        <w:t>How to fill this in — column by column</w:t>
      </w:r>
    </w:p>
    <w:p>
      <w:r>
        <w:t>Review Date / Period: When and what period.</w:t>
      </w:r>
    </w:p>
    <w:p>
      <w:r>
        <w:t>Entries Checked: Sample size.</w:t>
      </w:r>
    </w:p>
    <w:p>
      <w:r>
        <w:t>Shared Login Found (Y/N): Confirmed.</w:t>
      </w:r>
    </w:p>
    <w:p>
      <w:r>
        <w:t>Trainee Entries Countersigned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Review Date / Period</w:t>
            </w:r>
          </w:p>
        </w:tc>
        <w:tc>
          <w:tcPr>
            <w:tcW w:type="dxa" w:w="2160"/>
          </w:tcPr>
          <w:p>
            <w:r>
              <w:t>Entries Checked</w:t>
            </w:r>
          </w:p>
        </w:tc>
        <w:tc>
          <w:tcPr>
            <w:tcW w:type="dxa" w:w="2160"/>
          </w:tcPr>
          <w:p>
            <w:r>
              <w:t>Shared Login Found (Y/N)</w:t>
            </w:r>
          </w:p>
        </w:tc>
        <w:tc>
          <w:tcPr>
            <w:tcW w:type="dxa" w:w="2160"/>
          </w:tcPr>
          <w:p>
            <w:r>
              <w:t>Trainee Entries Countersigned (Y/N)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Q1 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20 entries sampled</w:t>
            </w:r>
          </w:p>
        </w:tc>
        <w:tc>
          <w:tcPr>
            <w:tcW w:type="dxa" w:w="2160"/>
            <w:shd w:val="clear" w:color="auto" w:fill="FFF2CC"/>
          </w:tcPr>
          <w:p>
            <w:r>
              <w:t>N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2 trainee entries, both countersigned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