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IMS.4.c (ASTERISKED) — The organisation maintains the security of records, data and information.</w:t>
      </w:r>
    </w:p>
    <w:p>
      <w:r>
        <w:t>IMS.4 Record 03 — Quarterly access-control-list review record</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the electronic access-control list was actually reviewed every quarter, with leavers and role changes actually removed or updated -- not a list left stale after someone's last day.</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The Q1 review finds one former employee's login still active, deactivated the same day it is found, and two role changes updated to the correct access level.</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A policy that says records are secure means nothing if the records room is routinely left unlocked, or if staff who left the hospital two years ago still have an active login.</w:t>
            </w:r>
          </w:p>
        </w:tc>
      </w:tr>
    </w:tbl>
    <w:p/>
    <w:p>
      <w:r>
        <w:t>How to fill this in — column by column</w:t>
      </w:r>
    </w:p>
    <w:p>
      <w:r>
        <w:t>Review Date / Quarter: When reviewed.</w:t>
      </w:r>
    </w:p>
    <w:p>
      <w:r>
        <w:t>Accounts Reviewed: How many checked.</w:t>
      </w:r>
    </w:p>
    <w:p>
      <w:r>
        <w:t>Stale / Incorrect Access Found (Y/N): Confirmed.</w:t>
      </w:r>
    </w:p>
    <w:p>
      <w:r>
        <w:t>Corrective Action / Date: What was fixed, when.</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International Organization for Standardization. (2022). </w:t>
      </w:r>
      <w:hyperlink r:id="rId9">
        <w:r>
          <w:rPr>
            <w:color w:val="0563C1"/>
            <w:u w:val="single"/>
          </w:rPr>
          <w:t>ISO/IEC 27001:2022 -- Information security management systems</w:t>
        </w:r>
      </w:hyperlink>
      <w:r>
        <w:t xml:space="preserve"> -- Requirements. Geneva: ISO -- the internationally recognised framework this hospital's information-security controls (access control, role restriction) are built on.</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Information Management System chapter, standard IMS.4.</w:t>
      </w:r>
    </w:p>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Date / Quarter</w:t>
            </w:r>
          </w:p>
        </w:tc>
        <w:tc>
          <w:tcPr>
            <w:tcW w:type="dxa" w:w="2160"/>
          </w:tcPr>
          <w:p>
            <w:r>
              <w:t>Accounts Reviewed</w:t>
            </w:r>
          </w:p>
        </w:tc>
        <w:tc>
          <w:tcPr>
            <w:tcW w:type="dxa" w:w="2160"/>
          </w:tcPr>
          <w:p>
            <w:r>
              <w:t>Stale / Incorrect Access Found (Y/N)</w:t>
            </w:r>
          </w:p>
        </w:tc>
        <w:tc>
          <w:tcPr>
            <w:tcW w:type="dxa" w:w="2160"/>
          </w:tcPr>
          <w:p>
            <w:r>
              <w:t>Corrective Action / Date</w:t>
            </w:r>
          </w:p>
        </w:tc>
      </w:tr>
      <w:tr>
        <w:tc>
          <w:tcPr>
            <w:tcW w:type="dxa" w:w="2160"/>
            <w:shd w:val="clear" w:color="auto" w:fill="FFF2CC"/>
          </w:tcPr>
          <w:p>
            <w:r/>
          </w:p>
        </w:tc>
        <w:tc>
          <w:tcPr>
            <w:tcW w:type="dxa" w:w="2160"/>
            <w:shd w:val="clear" w:color="auto" w:fill="FFF2CC"/>
          </w:tcPr>
          <w:p>
            <w:r/>
          </w:p>
        </w:tc>
        <w:tc>
          <w:tcPr>
            <w:tcW w:type="dxa" w:w="2160"/>
            <w:shd w:val="clear" w:color="auto" w:fill="FFF2CC"/>
          </w:tcPr>
          <w:p>
            <w:r/>
          </w:p>
        </w:tc>
        <w:tc>
          <w:tcPr>
            <w:tcW w:type="dxa" w:w="2160"/>
            <w:shd w:val="clear" w:color="auto" w:fill="FFF2CC"/>
          </w:tcPr>
          <w:p>
            <w:r/>
          </w:p>
        </w:tc>
      </w:tr>
      <w:tr>
        <w:tc>
          <w:tcPr>
            <w:tcW w:type="dxa" w:w="2160"/>
            <w:shd w:val="clear" w:color="auto" w:fill="FFF2CC"/>
          </w:tcPr>
          <w:p>
            <w:r>
              <w:t>WORKED EXAMPLE — Q1 2026</w:t>
            </w:r>
          </w:p>
        </w:tc>
        <w:tc>
          <w:tcPr>
            <w:tcW w:type="dxa" w:w="2160"/>
            <w:shd w:val="clear" w:color="auto" w:fill="FFF2CC"/>
          </w:tcPr>
          <w:p>
            <w:r>
              <w:t>42 accounts</w:t>
            </w:r>
          </w:p>
        </w:tc>
        <w:tc>
          <w:tcPr>
            <w:tcW w:type="dxa" w:w="2160"/>
            <w:shd w:val="clear" w:color="auto" w:fill="FFF2CC"/>
          </w:tcPr>
          <w:p>
            <w:r>
              <w:t>Y — 1 former employee login active</w:t>
            </w:r>
          </w:p>
        </w:tc>
        <w:tc>
          <w:tcPr>
            <w:tcW w:type="dxa" w:w="2160"/>
            <w:shd w:val="clear" w:color="auto" w:fill="FFF2CC"/>
          </w:tcPr>
          <w:p>
            <w:r>
              <w:t>Deactivated same day — 14-Mar-2026</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