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IMS.4.d — The organisation discloses privileged health information as authorised by the patient and/or as required by law.</w:t>
      </w:r>
    </w:p>
    <w:p>
      <w:r>
        <w:t>IMS.4 Record 04 — Disclosure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disclosure of privileged health information actually had a documented authorisation or a recorded legal basis -- not a disclosure made because someone asked.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disclosure to an insurance company is logged with the patient's signed authorisation attached, the date released, and the name of the releasing staff member.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disclosure made because someone asked, with no documented authorisation and no recorded legal basis, is the single most common way a hospital loses control of a patient's own information.</w:t>
            </w:r>
          </w:p>
        </w:tc>
      </w:tr>
    </w:tbl>
    <w:p/>
    <w:p>
      <w:r>
        <w:t>How to fill this in — column by column</w:t>
      </w:r>
    </w:p>
    <w:p>
      <w:r>
        <w:t>Date: When disclosed.</w:t>
      </w:r>
    </w:p>
    <w:p>
      <w:r>
        <w:t>What Was Disclosed / To Whom: Content and recipient.</w:t>
      </w:r>
    </w:p>
    <w:p>
      <w:r>
        <w:t>Authorisation / Lawful Basis: What permitted it.</w:t>
      </w:r>
    </w:p>
    <w:p>
      <w:r>
        <w:t>Released By: Who released it.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Health Authority, Government of India. (2022). </w:t>
      </w:r>
      <w:hyperlink r:id="rId9">
        <w:r>
          <w:rPr>
            <w:color w:val="0563C1"/>
            <w:u w:val="single"/>
          </w:rPr>
          <w:t>Health Data Management Policy</w:t>
        </w:r>
      </w:hyperlink>
      <w:r>
        <w:t xml:space="preserve"> (Ayushman Bharat Digital Mission). New Delhi: NHA -- guidance this hospital's confidentiality and disclosure steps are built on.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What Was Disclosed / To Whom</w:t>
            </w:r>
          </w:p>
        </w:tc>
        <w:tc>
          <w:tcPr>
            <w:tcW w:type="dxa" w:w="2160"/>
          </w:tcPr>
          <w:p>
            <w:r>
              <w:t>Authorisation / Lawful Basis</w:t>
            </w:r>
          </w:p>
        </w:tc>
        <w:tc>
          <w:tcPr>
            <w:tcW w:type="dxa" w:w="2160"/>
          </w:tcPr>
          <w:p>
            <w:r>
              <w:t>Released By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18-Mar-2026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Discharge summary copy / ABC Insurance Co.</w:t>
            </w:r>
          </w:p>
        </w:tc>
        <w:tc>
          <w:tcPr>
            <w:tcW w:type="dxa" w:w="2160"/>
            <w:shd w:val="clear" w:color="auto" w:fill="FFF2CC"/>
          </w:tcPr>
          <w:p>
            <w:r>
              <w:t>Patient's signed authorisation on file</w:t>
            </w:r>
          </w:p>
        </w:tc>
        <w:tc>
          <w:tcPr>
            <w:tcW w:type="dxa" w:w="2160"/>
            <w:shd w:val="clear" w:color="auto" w:fill="FFF2CC"/>
          </w:tcPr>
          <w:p>
            <w:r>
              <w:t>Medical Records Officer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bdm.gov.in:8081/uploads/health_management_policy_bac9429a79.pdf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