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IMS.4.e (ASTERISKED) — Requests for access to information in the medical records by patients, physicians and other public agencies are addressed consistently.</w:t>
      </w:r>
    </w:p>
    <w:p>
      <w:r>
        <w:t>IMS.4 Record 05 — Medical-record access request form and decision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access request actually went through the same form and the same decision timeline -- not an ad-hoc release to someone staff happened to know.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physician's request for a prior patient's records is logged, the pathway correctly identified as requiring authorisation, and a decision (granted, copy only) recorded within five working days.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Treating a request from a familiar doctor casually, while making a stranger fill out the full form, is how an "exception made this once" quietly becomes the real policy -- the form exists precisely so there are no quiet exceptions.</w:t>
            </w:r>
          </w:p>
        </w:tc>
      </w:tr>
    </w:tbl>
    <w:p/>
    <w:p>
      <w:r>
        <w:t>How to fill this in — column by column</w:t>
      </w:r>
    </w:p>
    <w:p>
      <w:r>
        <w:t>Request Date / Requester: Who asked and when.</w:t>
      </w:r>
    </w:p>
    <w:p>
      <w:r>
        <w:t>Pathway Identified: Patient / treating physician / other.</w:t>
      </w:r>
    </w:p>
    <w:p>
      <w:r>
        <w:t>Decision (Grant/Partial/Refuse) / Date: Within seven working days.</w:t>
      </w:r>
    </w:p>
    <w:p>
      <w:r>
        <w:t>Copy or Original Released: Should be copy unless lawfully required otherwise.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Request Date / Requester</w:t>
            </w:r>
          </w:p>
        </w:tc>
        <w:tc>
          <w:tcPr>
            <w:tcW w:type="dxa" w:w="2160"/>
          </w:tcPr>
          <w:p>
            <w:r>
              <w:t>Pathway Identified</w:t>
            </w:r>
          </w:p>
        </w:tc>
        <w:tc>
          <w:tcPr>
            <w:tcW w:type="dxa" w:w="2160"/>
          </w:tcPr>
          <w:p>
            <w:r>
              <w:t>Decision (Grant/Partial/Refuse) / Date</w:t>
            </w:r>
          </w:p>
        </w:tc>
        <w:tc>
          <w:tcPr>
            <w:tcW w:type="dxa" w:w="2160"/>
          </w:tcPr>
          <w:p>
            <w:r>
              <w:t>Copy or Original Released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15-Mar-2026 / Dr. Kamath (external physician)</w:t>
            </w:r>
          </w:p>
        </w:tc>
        <w:tc>
          <w:tcPr>
            <w:tcW w:type="dxa" w:w="2160"/>
            <w:shd w:val="clear" w:color="auto" w:fill="FFF2CC"/>
          </w:tcPr>
          <w:p>
            <w:r>
              <w:t>Other physician — authorisation required</w:t>
            </w:r>
          </w:p>
        </w:tc>
        <w:tc>
          <w:tcPr>
            <w:tcW w:type="dxa" w:w="2160"/>
            <w:shd w:val="clear" w:color="auto" w:fill="FFF2CC"/>
          </w:tcPr>
          <w:p>
            <w:r>
              <w:t>Granted — 20-Mar-2026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Copy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