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IMS.5.c — The retention process provides the expected confidentiality and security.</w:t>
      </w:r>
    </w:p>
    <w:p>
      <w:r>
        <w:t>IMS.5 Record 03 — Archive issue/return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every retrieval of an archived record was actually logged, with only staff who genuinely needed it for care, review or a lawful disclosure retrieving it -- not open access to the archive.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past-episode record is issued to a treating doctor for continuity of care, logged with issue and return dates, and confirmed returned to the locked archive the same week.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record that is perfectly secure while active and then left loosely accessible once it is archived has not actually protected the patient -- the risk does not end the moment a record moves to storage.</w:t>
            </w:r>
          </w:p>
        </w:tc>
      </w:tr>
    </w:tbl>
    <w:p/>
    <w:p>
      <w:r>
        <w:t>How to fill this in — column by column</w:t>
      </w:r>
    </w:p>
    <w:p>
      <w:r>
        <w:t>Record / Issue Date: Which record, when issued.</w:t>
      </w:r>
    </w:p>
    <w:p>
      <w:r>
        <w:t>Issued To / Reason: Who and why.</w:t>
      </w:r>
    </w:p>
    <w:p>
      <w:r>
        <w:t>Return Date: When returned.</w:t>
      </w:r>
    </w:p>
    <w:p>
      <w:r>
        <w:t>Confirmed Returned to Locked Archive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IMS.5.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Issue Date</w:t>
            </w:r>
          </w:p>
        </w:tc>
        <w:tc>
          <w:tcPr>
            <w:tcW w:type="dxa" w:w="2160"/>
          </w:tcPr>
          <w:p>
            <w:r>
              <w:t>Issued To / Reason</w:t>
            </w:r>
          </w:p>
        </w:tc>
        <w:tc>
          <w:tcPr>
            <w:tcW w:type="dxa" w:w="2160"/>
          </w:tcPr>
          <w:p>
            <w:r>
              <w:t>Return Date</w:t>
            </w:r>
          </w:p>
        </w:tc>
        <w:tc>
          <w:tcPr>
            <w:tcW w:type="dxa" w:w="2160"/>
          </w:tcPr>
          <w:p>
            <w:r>
              <w:t>Confirmed Returned to Locked Archive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UID-00610 / 12-Mar-2026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Dr. Patel / continuity-of-care review for new admission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15-Mar-2026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