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IMS.6.e — Appropriate corrective and preventive measures are undertaken on the deficiencies pointed out in the review.</w:t>
      </w:r>
    </w:p>
    <w:p>
      <w:r>
        <w:t>IMS.6 Record 05 — Deficiency CAPA tracking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deficiency the review found was actually tracked to a named owner and a closure date -- and that a deficiency repeating for two months actually triggered a root-cause analysis rather than being logged again as new.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An unauthorised-abbreviation deficiency is assigned to the ward in-charge for correction and staff re-briefing, closed within two weeks; the same parameter failing again the following month triggers an RCA reported to the Medical Superintendent.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deficiency that is noted in a review report and never followed up is no different, in practice, from a review that was never done at all.</w:t>
            </w:r>
          </w:p>
        </w:tc>
      </w:tr>
    </w:tbl>
    <w:p/>
    <w:p>
      <w:r>
        <w:t>How to fill this in — column by column</w:t>
      </w:r>
    </w:p>
    <w:p>
      <w:r>
        <w:t>Record / Parameter Failed: What and where.</w:t>
      </w:r>
    </w:p>
    <w:p>
      <w:r>
        <w:t>Immediate Correction / Owner: Quick fix and who.</w:t>
      </w:r>
    </w:p>
    <w:p>
      <w:r>
        <w:t>Preventive Action / Owner / Due Date: Longer-term fix.</w:t>
      </w:r>
    </w:p>
    <w:p>
      <w:r>
        <w:t>Closure Date / Recurrence (2 Consecutive Months, Y/N): Tracked to closure.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Record / Parameter Failed</w:t>
            </w:r>
          </w:p>
        </w:tc>
        <w:tc>
          <w:tcPr>
            <w:tcW w:type="dxa" w:w="2160"/>
          </w:tcPr>
          <w:p>
            <w:r>
              <w:t>Immediate Correction / Owner</w:t>
            </w:r>
          </w:p>
        </w:tc>
        <w:tc>
          <w:tcPr>
            <w:tcW w:type="dxa" w:w="2160"/>
          </w:tcPr>
          <w:p>
            <w:r>
              <w:t>Preventive Action / Owner / Due Date</w:t>
            </w:r>
          </w:p>
        </w:tc>
        <w:tc>
          <w:tcPr>
            <w:tcW w:type="dxa" w:w="2160"/>
          </w:tcPr>
          <w:p>
            <w:r>
              <w:t>Closure Date / Recurrence (2 Consecutive Months, Y/N)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UID-00701 / authorised abbreviations</w:t>
            </w:r>
          </w:p>
        </w:tc>
        <w:tc>
          <w:tcPr>
            <w:tcW w:type="dxa" w:w="2160"/>
            <w:shd w:val="clear" w:color="auto" w:fill="FFF2CC"/>
          </w:tcPr>
          <w:p>
            <w:r>
              <w:t>Entry corrected by writer same day</w:t>
            </w:r>
          </w:p>
        </w:tc>
        <w:tc>
          <w:tcPr>
            <w:tcW w:type="dxa" w:w="2160"/>
            <w:shd w:val="clear" w:color="auto" w:fill="FFF2CC"/>
          </w:tcPr>
          <w:p>
            <w:r>
              <w:t>Ward re-briefing; Ward In-Charge / 28-Mar-2026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28-Mar-2026 / N — no recurrence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