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Confidentiality, Integrity and Security of Records, Data and Information</w:t>
      </w:r>
    </w:p>
    <w:p>
      <w:r>
        <w:t>«Hospital Name» — SOP-IMS.4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SOP-IMS.4</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keeps patient information confidential, keeps records accurate and unaltered except through a proper correction, secures both paper and electronic records, discloses privileged health information only with authorisation or a recorded legal basis, and handles every request for access to a medical record in the same consistent way.</w:t>
            </w:r>
          </w:p>
        </w:tc>
      </w:tr>
    </w:tbl>
    <w:p/>
    <w:tbl>
      <w:tblPr>
        <w:tblStyle w:val="TableGrid"/>
        <w:tblW w:type="auto" w:w="0"/>
        <w:tblLook w:firstColumn="1" w:firstRow="1" w:lastColumn="0" w:lastRow="0" w:noHBand="0" w:noVBand="1" w:val="04A0"/>
      </w:tblPr>
      <w:tblGrid>
        <w:gridCol w:w="8640"/>
      </w:tblGrid>
      <w:tr>
        <w:tc>
          <w:tcPr>
            <w:tcW w:type="dxa" w:w="8640"/>
          </w:tcPr>
          <w:p>
            <w:r>
              <w:t>A staff member discusses a patient's diagnosis in the lift where a visitor can overhear, or hands a photocopied chart to someone who asked nicely without checking who they actually are -- neither looks like a dramatic breach, but both are exactly how confidentiality actually fails in practice. This SOP exists to make the careful response the automatic one.</w:t>
            </w:r>
          </w:p>
        </w:tc>
      </w:tr>
    </w:tbl>
    <w:p/>
    <w:tbl>
      <w:tblPr>
        <w:tblStyle w:val="TableGrid"/>
        <w:tblW w:type="auto" w:w="0"/>
        <w:tblLook w:firstColumn="1" w:firstRow="1" w:lastColumn="0" w:lastRow="0" w:noHBand="0" w:noVBand="1" w:val="04A0"/>
      </w:tblPr>
      <w:tblGrid>
        <w:gridCol w:w="8640"/>
      </w:tblGrid>
      <w:tr>
        <w:tc>
          <w:tcPr>
            <w:tcW w:type="dxa" w:w="8640"/>
          </w:tcPr>
          <w:p>
            <w:r>
              <w:t>We do this because confidentiality of protected health information is paramount -- it has to be safeguarded everywhere information is processed, stored or shared, not only in the records room.</w:t>
            </w:r>
          </w:p>
        </w:tc>
      </w:tr>
    </w:tbl>
    <w:p/>
    <w:p>
      <w:r>
        <w:t>To define how «Hospital Name» maintains the confidentiality, integrity and security of records, data and information; discloses privileged health information only as authorised by the patient and/or as required by law; and addresses requests for access to information in the medical records by patients, physicians and other public agencies consistently.</w:t>
      </w:r>
    </w:p>
    <w:p>
      <w:pPr>
        <w:pStyle w:val="Heading1"/>
      </w:pPr>
      <w:r>
        <w:t>2. Scope</w:t>
      </w:r>
    </w:p>
    <w:p>
      <w:r>
        <w:t>so every staff member who can see, touch or access a medical record -- not only the Medical Records Officer -- knows confidentiality is something they personally safeguard every day, not a rule that lives in a policy folder.</w:t>
      </w:r>
    </w:p>
    <w:p>
      <w:r>
        <w:t>Applies to all records, data and information at «Hospital Name», in paper and electronic form, and to every staff member, the Medical Records Officer, and the IT or information-systems in-charge. It covers confidentiality, integrity and security of this hospital's medical records and general organisational information, how disclosure is authorised, and how access requests are processed. It does not cover confidentiality of staff personal files, which is set out in its own separate SOP, and it does not cover how the patient's own right of access is first recognised -- only how a request is processed once received.</w:t>
      </w:r>
    </w:p>
    <w:p>
      <w:pPr>
        <w:pStyle w:val="Heading1"/>
      </w:pPr>
      <w:r>
        <w:t>3. Responsibility</w:t>
      </w:r>
    </w:p>
    <w:p>
      <w:r>
        <w:t>confidentiality that depends on "everyone being careful" with no named owner for storage, access control and the disclosure log tends to fail exactly at the busy moment nobody stops to think.</w:t>
      </w:r>
    </w:p>
    <w:p>
      <w:r>
        <w:rPr>
          <w:b/>
        </w:rPr>
        <w:t xml:space="preserve">Medical Records Officer: </w:t>
      </w:r>
      <w:r>
        <w:t>Receives and processes every access request through the standard form; keeps the disclosure log; manages physical storage security.</w:t>
      </w:r>
    </w:p>
    <w:p>
      <w:r>
        <w:rPr>
          <w:b/>
        </w:rPr>
        <w:t xml:space="preserve">IT / Information-Systems In-Charge: </w:t>
      </w:r>
      <w:r>
        <w:t>Holds and reviews the access-control list; manages electronic security -- unique logins, session timeout, malware protection.</w:t>
      </w:r>
    </w:p>
    <w:p>
      <w:r>
        <w:rPr>
          <w:b/>
        </w:rPr>
        <w:t xml:space="preserve">All Staff: </w:t>
      </w:r>
      <w:r>
        <w:t>Treat patient information as need-to-know only; never discuss a patient's condition in a public area; invoke stop-work when a disclosure lacks authorisation or lawful basis.</w:t>
      </w:r>
    </w:p>
    <w:p>
      <w:r>
        <w:rPr>
          <w:b/>
        </w:rPr>
        <w:t xml:space="preserve">Medical Superintendent: </w:t>
      </w:r>
      <w:r>
        <w:t>Receives stop-work escalations; is accountable for confidentiality, integrity and security overall.</w:t>
      </w:r>
    </w:p>
    <w:p>
      <w:pPr>
        <w:pStyle w:val="Heading1"/>
      </w:pPr>
      <w:r>
        <w:t>4. What to do</w:t>
      </w:r>
    </w:p>
    <w:p>
      <w:pPr>
        <w:pStyle w:val="Heading2"/>
      </w:pPr>
      <w:r>
        <w:t>Treat patient information as need-to-know, everywhere, every time</w:t>
      </w:r>
    </w:p>
    <w:p>
      <w:r>
        <w:t>A corridor conversation about a patient's diagnosis within earshot of a visitor is a confidentiality breach exactly as real as handing over the wrong file -- it just feels more casual while it is happening.</w:t>
      </w:r>
    </w:p>
    <w:p>
      <w:r>
        <w:t>«Hospital Name» maintains the confidentiality of records, data and information.</w:t>
      </w:r>
    </w:p>
    <w:p>
      <w:r>
        <w:t>Privileged health information -- the medical record and any data that identifies a patient and their care -- is available only to staff who need it for care, for an authorised review, or for a disclosure that meets this hospital's disclosure requirement. Casual discussion of a patient's condition in corridors, lifts or other public areas is prohibited.</w:t>
      </w:r>
    </w:p>
    <w:p>
      <w:r>
        <w:t>Paper records are stored in the records room or a locked department cupboard when not in use. Electronic records are restricted by role. A visitor, vendor or unauthorised staff member is never left alone with a record.</w:t>
      </w:r>
    </w:p>
    <w:p>
      <w:pPr>
        <w:pStyle w:val="Heading2"/>
      </w:pPr>
      <w:r>
        <w:t>Keep records accurate and unaltered, except through a proper correction</w:t>
      </w:r>
    </w:p>
    <w:p>
      <w:r>
        <w:t>A record that can be silently altered with no trail cannot be trusted by the next clinician who reads it, or defended later if the care it documents is ever questioned.</w:t>
      </w:r>
    </w:p>
    <w:p>
      <w:r>
        <w:t>«Hospital Name» maintains the integrity of records, data and information.</w:t>
      </w:r>
    </w:p>
    <w:p>
      <w:r>
        <w:t>Integrity means the record stays complete and unaltered except by an authenticated correction. A paper correction follows the single-line-through method described in this hospital's medical-record SOP. An electronic correction leaves an amendment trail showing the original entry, the change made, who made it, and when.</w:t>
      </w:r>
    </w:p>
    <w:p>
      <w:r>
        <w:t>Backups of electronic records are checked «monthly» for restorability. Paper records are protected from loss, mixing and unauthorised removal through an issue/return log.</w:t>
      </w:r>
    </w:p>
    <w:p>
      <w:pPr>
        <w:pStyle w:val="Heading2"/>
      </w:pPr>
      <w:r>
        <w:t>Secure records physically and electronically, not just describe how they should be secured</w:t>
      </w:r>
    </w:p>
    <w:p>
      <w:r>
        <w:t>A policy that says records are secure means nothing if the records room is routinely left unlocked, or if staff who left the hospital two years ago still have an active login.</w:t>
      </w:r>
    </w:p>
    <w:p>
      <w:r>
        <w:t>«Hospital Name» maintains the security of records, data and information.</w:t>
      </w:r>
    </w:p>
    <w:p>
      <w:r>
        <w:t>Physical security: the records room is locked when unattended; keys or access cards are held by named persons; after-hours access is logged.</w:t>
      </w:r>
    </w:p>
    <w:p>
      <w:r>
        <w:t>Electronic security: every user has a unique identity with a password that is never shared, access is restricted by role, sessions time out automatically after «fifteen minutes», and machines that hold health information carry malware protection.</w:t>
      </w:r>
    </w:p>
    <w:p>
      <w:r>
        <w:t>The «IT / information-systems in-charge» holds the access-control list and reviews it «quarterly», and immediately whenever a staff member joins, leaves or changes role.</w:t>
      </w:r>
    </w:p>
    <w:p>
      <w:pPr>
        <w:pStyle w:val="Heading2"/>
      </w:pPr>
      <w:r>
        <w:t>Disclose privileged health information only with authorisation or a recorded legal basis</w:t>
      </w:r>
    </w:p>
    <w:p>
      <w:r>
        <w:t>A disclosure made because someone asked, with no documented authorisation and no recorded legal basis, is the single most common way a hospital loses control of a patient's own information.</w:t>
      </w:r>
    </w:p>
    <w:p>
      <w:r>
        <w:t>«Hospital Name» discloses privileged health information only as authorised by the patient and/or as required by law.</w:t>
      </w:r>
    </w:p>
    <w:p>
      <w:r>
        <w:t>A disclosure happens only when the patient, or someone legally authorised to act for the patient, has given documented authorisation for that specific disclosure; or when a written legal or regulatory requirement to disclose is recorded, such as a court order or a statutory return.</w:t>
      </w:r>
    </w:p>
    <w:p>
      <w:r>
        <w:t>Every disclosure is logged: what was disclosed, to whom, the authorisation or lawful basis it relied on, the date, and who released it. A contribution to an external database that includes privileged health information is logged here as well, in addition to that database's own contribution register.</w:t>
      </w:r>
    </w:p>
    <w:p>
      <w:r>
        <w:t>Where neither a documented authorisation nor a recorded lawful basis exists, the stop-work authority described below applies.</w:t>
      </w:r>
    </w:p>
    <w:p>
      <w:pPr>
        <w:pStyle w:val="Heading2"/>
      </w:pPr>
      <w:r>
        <w:t>Handle every access request the same documented way, whoever is asking</w:t>
      </w:r>
    </w:p>
    <w:p>
      <w:r>
        <w:t>Treating a request from a familiar doctor casually, while making a stranger fill out the full form, is how an "exception made this once" quietly becomes the real policy -- the form exists precisely so there are no quiet exceptions.</w:t>
      </w:r>
    </w:p>
    <w:p>
      <w:r>
        <w:t>Requests for access to information in the medical records, by patients, physicians and other public agencies, are addressed consistently.</w:t>
      </w:r>
    </w:p>
    <w:p>
      <w:r>
        <w:t>The «Medical Records Officer» receives every request on the «medical-record access request form». The same steps apply, whoever is asking:</w:t>
      </w:r>
    </w:p>
    <w:p>
      <w:r>
        <w:t>1. Identify the requester and the record.</w:t>
      </w:r>
    </w:p>
    <w:p>
      <w:r>
        <w:t>2. Decide the pathway -- a patient or their authorised representative follows this hospital's own right-of-access process; a treating physician involved in the patient's care follows the continuity-of-care access rule; any other physician or public agency needs the authorisation or lawful basis this SOP already requires for disclosure.</w:t>
      </w:r>
    </w:p>
    <w:p>
      <w:r>
        <w:t>3. Record the decision -- grant, grant in part, or refuse with a stated reason -- within «seven working days».</w:t>
      </w:r>
    </w:p>
    <w:p>
      <w:r>
        <w:t>4. Release only a copy, never the original, unless a lawful process specifically requires the original and a copy is kept on file.</w:t>
      </w:r>
    </w:p>
    <w:p>
      <w:r>
        <w:t>An ad-hoc release to a doctor who happens to be known to staff, or to a visiting official, that bypasses this form, fails this requirement regardless of how well-intentioned it was.</w:t>
      </w:r>
    </w:p>
    <w:p>
      <w:pPr>
        <w:pStyle w:val="Heading2"/>
      </w:pPr>
      <w:r>
        <w:t>Stop before releasing anything that does not have documented authorisation or a recorded legal basis</w:t>
      </w:r>
    </w:p>
    <w:p>
      <w:r>
        <w:t>A disclosure, once made, cannot be undone -- the moment to catch a missing authorisation is before the record leaves the building, not after.</w:t>
      </w:r>
    </w:p>
    <w:p>
      <w:r>
        <w:t>Do not go ahead with a disclosure or release if any of the following is about to happen:</w:t>
      </w:r>
    </w:p>
    <w:p>
      <w:r>
        <w:t>1. Releasing or disclosing a patient's privileged health information without the patient's (or legally authorised representative's) documented authorisation, and without a documented lawful basis.</w:t>
      </w:r>
    </w:p>
    <w:p>
      <w:r>
        <w:t>2. Handing over an original medical record to a requester when a copy would do, unless a recorded lawful process requires the original.</w:t>
      </w:r>
    </w:p>
    <w:p>
      <w:r>
        <w:t>3. Sending privileged health information through an uncontrolled channel -- unencrypted personal messaging, an unnamed USB drive, an unattended fax -- when a controlled channel exists.</w:t>
      </w:r>
    </w:p>
    <w:p>
      <w:r>
        <w:t>When stop-work is invoked: the record or data is not released; the information is made safe (paper returned to the locked store, an electronic session closed); and it is reported to the «Medical Records Officer» or the «Medical Superintendent» the same shift.</w:t>
      </w:r>
    </w:p>
    <w:p>
      <w:r>
        <w:t>No approval is needed to invoke this stop-work authority. Confidentiality of protected health information overrides convenience.</w:t>
      </w:r>
    </w:p>
    <w:p>
      <w:pPr>
        <w:pStyle w:val="Heading1"/>
      </w:pPr>
      <w:r>
        <w:t>5. Records</w:t>
      </w:r>
    </w:p>
    <w:p>
      <w:r>
        <w:t>This SOP produces and maintains Records 1-6 (see the IMS.4 Records folder).</w:t>
      </w:r>
    </w:p>
    <w:p>
      <w:pPr>
        <w:pStyle w:val="Heading1"/>
      </w:pPr>
      <w:r>
        <w:t>6. Related SOPs</w:t>
      </w:r>
    </w:p>
    <w:p>
      <w:pPr>
        <w:pStyle w:val="ListParagraph"/>
      </w:pPr>
      <w:r>
        <w:t>Hospital's Information Needs of Stakeholders SOP (IMS.1)</w:t>
      </w:r>
    </w:p>
    <w:p>
      <w:pPr>
        <w:pStyle w:val="ListParagraph"/>
      </w:pPr>
      <w:r>
        <w:t>Hospital's Availability, Document Control and Retention SOP (IMS.5)</w:t>
      </w:r>
    </w:p>
    <w:p>
      <w:pPr>
        <w:pStyle w:val="ListParagraph"/>
      </w:pPr>
      <w:r>
        <w:t>Hospital's staff-confidentiality SOP (HRM.6)</w:t>
      </w:r>
    </w:p>
    <w:p>
      <w:pPr>
        <w:pStyle w:val="ListParagraph"/>
      </w:pPr>
      <w:r>
        <w:t>Hospital's patient rights and right-of-access policy (PRE.2)</w:t>
      </w:r>
    </w:p>
    <w:p>
      <w:pPr>
        <w:pStyle w:val="Heading1"/>
      </w:pPr>
      <w:r>
        <w:t>7. Review</w:t>
      </w:r>
    </w:p>
    <w:p>
      <w:r>
        <w:t>This SOP is reviewed annually, or sooner if a stop-work disclosure event is invoked, if an access-request decision misses the seven-working-day window, or if a related policy named above in this chapter is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Treat patient information as need-to-know, everywhere, every time — IMS.4.a (ASTERISKED)</w:t>
      </w:r>
    </w:p>
    <w:p>
      <w:r>
        <w:rPr>
          <w:i/>
        </w:rPr>
        <w:t>Boundary with other standards:</w:t>
      </w:r>
    </w:p>
    <w:p>
      <w:pPr>
        <w:pStyle w:val="ListParagraph"/>
      </w:pPr>
      <w:r>
        <w:t>• Confidentiality of staff personal files is owned by HRM.6; this step covers patient medical records and general organisational information.</w:t>
      </w:r>
    </w:p>
    <w:p>
      <w:pPr>
        <w:pStyle w:val="Heading2"/>
      </w:pPr>
      <w:r>
        <w:t>Keep records accurate and unaltered, except through a proper correction — IMS.4.b (ASTERISKED)</w:t>
      </w:r>
    </w:p>
    <w:p>
      <w:r>
        <w:rPr>
          <w:i/>
        </w:rPr>
        <w:t>Boundary with other standards:</w:t>
      </w:r>
    </w:p>
    <w:p>
      <w:pPr>
        <w:pStyle w:val="ListParagraph"/>
      </w:pPr>
      <w:r>
        <w:t>• The exact correction method for a paper entry is owned by IMS.2.d; this step owns that integrity is maintained system-wide, including backup restorability.</w:t>
      </w:r>
    </w:p>
    <w:p>
      <w:pPr>
        <w:pStyle w:val="Heading2"/>
      </w:pPr>
      <w:r>
        <w:t>Secure records physically and electronically, not just describe how they should be secured — IMS.4.c (ASTERISKED)</w:t>
      </w:r>
    </w:p>
    <w:p>
      <w:r>
        <w:rPr>
          <w:i/>
        </w:rPr>
        <w:t>Verified source(s):</w:t>
      </w:r>
    </w:p>
    <w:p>
      <w:pPr>
        <w:pStyle w:val="ListParagraph"/>
      </w:pPr>
      <w:r>
        <w:t xml:space="preserve">• </w:t>
      </w:r>
      <w:r>
        <w:t xml:space="preserve">International Organization for Standardization. (2022). </w:t>
      </w:r>
      <w:hyperlink r:id="rId9">
        <w:r>
          <w:rPr>
            <w:color w:val="0563C1"/>
            <w:u w:val="single"/>
          </w:rPr>
          <w:t>ISO/IEC 27001:2022 -- Information security management systems</w:t>
        </w:r>
      </w:hyperlink>
      <w:r>
        <w:t xml:space="preserve"> -- Requirements. Geneva: ISO -- the internationally recognised framework this hospital's information-security controls (access control, role restriction) are built on.</w:t>
      </w:r>
    </w:p>
    <w:p>
      <w:pPr>
        <w:pStyle w:val="ListParagraph"/>
      </w:pPr>
      <w:r>
        <w:t xml:space="preserve">• </w:t>
      </w:r>
      <w:r>
        <w:t xml:space="preserve">International Organization for Standardization. (2016). </w:t>
      </w:r>
      <w:hyperlink r:id="rId10">
        <w:r>
          <w:rPr>
            <w:color w:val="0563C1"/>
            <w:u w:val="single"/>
          </w:rPr>
          <w:t>ISO 27799:2016 -- Health informatics -- Information security management in health using ISO/IEC 27002</w:t>
        </w:r>
      </w:hyperlink>
      <w:r>
        <w:t>. Geneva: ISO -- the health-sector-specific security guidance this hospital's records-security measures are built on.</w:t>
      </w:r>
    </w:p>
    <w:p>
      <w:pPr>
        <w:pStyle w:val="Heading2"/>
      </w:pPr>
      <w:r>
        <w:t>Disclose privileged health information only with authorisation or a recorded legal basis — IMS.4.d</w:t>
      </w:r>
    </w:p>
    <w:p>
      <w:r>
        <w:rPr>
          <w:i/>
        </w:rPr>
        <w:t>Boundary with other standards:</w:t>
      </w:r>
    </w:p>
    <w:p>
      <w:pPr>
        <w:pStyle w:val="ListParagraph"/>
      </w:pPr>
      <w:r>
        <w:t>• The external-database contribution register itself is owned by IMS.1.d; this step is the general disclosure gate that any contribution of patient-identifiable data must also clear.</w:t>
      </w:r>
    </w:p>
    <w:p>
      <w:pPr>
        <w:pStyle w:val="Heading2"/>
      </w:pPr>
      <w:r>
        <w:t>Handle every access request the same documented way, whoever is asking — IMS.4.e (ASTERISKED)</w:t>
      </w:r>
    </w:p>
    <w:p>
      <w:pPr>
        <w:pStyle w:val="Heading2"/>
      </w:pPr>
      <w:r>
        <w:t>Stop before releasing anything that does not have documented authorisation or a recorded legal basis — IMS.4.d (stop-work authority)</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1">
        <w:r>
          <w:rPr>
            <w:color w:val="0563C1"/>
            <w:u w:val="single"/>
          </w:rPr>
          <w:t>NABH SHCO Accreditation Programme page</w:t>
        </w:r>
      </w:hyperlink>
      <w:r>
        <w:t>. Information Management System chapter, standard IMS.4.</w:t>
      </w:r>
    </w:p>
    <w:p>
      <w:pPr>
        <w:pStyle w:val="ListParagraph"/>
      </w:pPr>
      <w:r>
        <w:t xml:space="preserve">• </w:t>
      </w:r>
      <w:r>
        <w:t xml:space="preserve">Ministry of Health and Family Welfare, Government of India. (2016). </w:t>
      </w:r>
      <w:hyperlink r:id="rId12">
        <w:r>
          <w:rPr>
            <w:color w:val="0563C1"/>
            <w:u w:val="single"/>
          </w:rPr>
          <w:t>Electronic Health Record (EHR) Standards for India</w:t>
        </w:r>
      </w:hyperlink>
      <w:r>
        <w:t>. New Delhi: MoHFW -- guidance this hospital's record-structure and data-standardisation steps are built on, cited as guidance, not as a copied statute.</w:t>
      </w:r>
    </w:p>
    <w:p>
      <w:pPr>
        <w:pStyle w:val="ListParagraph"/>
      </w:pPr>
      <w:r>
        <w:t xml:space="preserve">• </w:t>
      </w:r>
      <w:r>
        <w:t xml:space="preserve">National Health Authority, Government of India. (2022). </w:t>
      </w:r>
      <w:hyperlink r:id="rId13">
        <w:r>
          <w:rPr>
            <w:color w:val="0563C1"/>
            <w:u w:val="single"/>
          </w:rPr>
          <w:t>Health Data Management Policy</w:t>
        </w:r>
      </w:hyperlink>
      <w:r>
        <w:t xml:space="preserve"> (Ayushman Bharat Digital Mission). New Delhi: NHA -- guidance this hospital's confidentiality and disclosure steps are built on.</w:t>
      </w:r>
    </w:p>
    <w:p>
      <w:pPr>
        <w:pStyle w:val="ListParagraph"/>
      </w:pPr>
      <w:r>
        <w:t xml:space="preserve">• </w:t>
      </w:r>
      <w:r>
        <w:t xml:space="preserve">International Organization for Standardization. (2022). </w:t>
      </w:r>
      <w:hyperlink r:id="rId9">
        <w:r>
          <w:rPr>
            <w:color w:val="0563C1"/>
            <w:u w:val="single"/>
          </w:rPr>
          <w:t>ISO/IEC 27001:2022 -- Information security management systems</w:t>
        </w:r>
      </w:hyperlink>
      <w:r>
        <w:t xml:space="preserve"> -- Requirements. Geneva: ISO -- the internationally recognised framework this hospital's information-security controls (access control, role restriction) are built on.</w:t>
      </w:r>
    </w:p>
    <w:p>
      <w:pPr>
        <w:pStyle w:val="ListParagraph"/>
      </w:pPr>
      <w:r>
        <w:t xml:space="preserve">• </w:t>
      </w:r>
      <w:r>
        <w:t xml:space="preserve">International Organization for Standardization. (2016). </w:t>
      </w:r>
      <w:hyperlink r:id="rId10">
        <w:r>
          <w:rPr>
            <w:color w:val="0563C1"/>
            <w:u w:val="single"/>
          </w:rPr>
          <w:t>ISO 27799:2016 -- Health informatics -- Information security management in health using ISO/IEC 27002</w:t>
        </w:r>
      </w:hyperlink>
      <w:r>
        <w:t>. Geneva: ISO -- the health-sector-specific security guidance this hospital's records-security measures are built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so.org/standard/27001" TargetMode="External"/><Relationship Id="rId10" Type="http://schemas.openxmlformats.org/officeDocument/2006/relationships/hyperlink" Target="https://www.iso.org/standard/62777.html" TargetMode="External"/><Relationship Id="rId11" Type="http://schemas.openxmlformats.org/officeDocument/2006/relationships/hyperlink" Target="https://nabh.co/programmes/small-healthcare-organisation-shco-accreditation-programme/" TargetMode="External"/><Relationship Id="rId12" Type="http://schemas.openxmlformats.org/officeDocument/2006/relationships/hyperlink" Target="https://esanjeevani.mohfw.gov.in/assets/guidelines/ehr_guidlines.pdf" TargetMode="External"/><Relationship Id="rId13" Type="http://schemas.openxmlformats.org/officeDocument/2006/relationships/hyperlink" Target="https://abdm.gov.in:8081/uploads/health_management_policy_bac9429a7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