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MOM.1.b — Pharmacy services and medication usage are implemented following written guidance through a multidisciplinary committee.</w:t>
      </w:r>
    </w:p>
    <w:p>
      <w:r>
        <w:t>MOM.1 Record 02 — Multidisciplinary Medication Committee meeting minutes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What is this record, in plain terms?</w:t>
              <w:br/>
              <w:t>This record is the proof the committee actually meets, with the right people in the room, and that its decisions are written down with an owner and a deadline -- not that a committee exists on an organisation chart.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A real example of when you'd use this</w:t>
              <w:br/>
              <w:t>The quarterly committee meeting reviews a rise in off-formulary prescribing and decides to run a prescriber education session, assigned to the Pharmacy In-Charge with a one-month deadline.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Why does NABH ask for this?</w:t>
              <w:br/>
              <w:t>A committee that exists on paper but never actually meets, reviews data, or decides anything is not governance -- it is a name on an organisation chart.</w:t>
            </w:r>
          </w:p>
        </w:tc>
      </w:tr>
    </w:tbl>
    <w:p/>
    <w:p>
      <w:r>
        <w:t>How to fill this in — column by column</w:t>
      </w:r>
    </w:p>
    <w:p>
      <w:r>
        <w:t>Meeting Date: Date of the committee meeting.</w:t>
      </w:r>
    </w:p>
    <w:p>
      <w:r>
        <w:t>Attendees: Who was present, by role.</w:t>
      </w:r>
    </w:p>
    <w:p>
      <w:r>
        <w:t>Decision / Action Item: What was decided or assigned.</w:t>
      </w:r>
    </w:p>
    <w:p>
      <w:r>
        <w:t>Owner: Who is responsible for carrying it out.</w:t>
      </w:r>
    </w:p>
    <w:p>
      <w:r>
        <w:t>Due Date: When it is due.</w:t>
      </w:r>
    </w:p>
    <w:p>
      <w:r>
        <w:t>Status: Open, in progress, or closed.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</w:pPr>
      <w:r>
        <w:t xml:space="preserve">• </w:t>
      </w:r>
      <w:r>
        <w:t xml:space="preserve">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Management of Medication chapter, standard MOM.1.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Meeting Date</w:t>
            </w:r>
          </w:p>
        </w:tc>
        <w:tc>
          <w:tcPr>
            <w:tcW w:type="dxa" w:w="1440"/>
          </w:tcPr>
          <w:p>
            <w:r>
              <w:t>Attendees</w:t>
            </w:r>
          </w:p>
        </w:tc>
        <w:tc>
          <w:tcPr>
            <w:tcW w:type="dxa" w:w="1440"/>
          </w:tcPr>
          <w:p>
            <w:r>
              <w:t>Decision / Action Item</w:t>
            </w:r>
          </w:p>
        </w:tc>
        <w:tc>
          <w:tcPr>
            <w:tcW w:type="dxa" w:w="1440"/>
          </w:tcPr>
          <w:p>
            <w:r>
              <w:t>Owner</w:t>
            </w:r>
          </w:p>
        </w:tc>
        <w:tc>
          <w:tcPr>
            <w:tcW w:type="dxa" w:w="1440"/>
          </w:tcPr>
          <w:p>
            <w:r>
              <w:t>Due Date</w:t>
            </w:r>
          </w:p>
        </w:tc>
        <w:tc>
          <w:tcPr>
            <w:tcW w:type="dxa" w:w="1440"/>
          </w:tcPr>
          <w:p>
            <w:r>
              <w:t>Status</w:t>
            </w:r>
          </w:p>
        </w:tc>
      </w:tr>
      <w:tr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</w:tr>
      <w:tr>
        <w:tc>
          <w:tcPr>
            <w:tcW w:type="dxa" w:w="1440"/>
            <w:shd w:val="clear" w:color="auto" w:fill="FFF2CC"/>
          </w:tcPr>
          <w:p>
            <w:r>
              <w:t>WORKED EXAMPLE — 15-Jan-2026</w:t>
            </w:r>
          </w:p>
        </w:tc>
        <w:tc>
          <w:tcPr>
            <w:tcW w:type="dxa" w:w="1440"/>
            <w:shd w:val="clear" w:color="auto" w:fill="FFF2CC"/>
          </w:tcPr>
          <w:p>
            <w:r>
              <w:t>Medical Superintendent, Pharmacy In-Charge, Dr. Rao, Nurse Patel</w:t>
            </w:r>
          </w:p>
        </w:tc>
        <w:tc>
          <w:tcPr>
            <w:tcW w:type="dxa" w:w="1440"/>
            <w:shd w:val="clear" w:color="auto" w:fill="FFF2CC"/>
          </w:tcPr>
          <w:p>
            <w:r>
              <w:t>Run prescriber education on off-formulary prescribing</w:t>
            </w:r>
          </w:p>
        </w:tc>
        <w:tc>
          <w:tcPr>
            <w:tcW w:type="dxa" w:w="1440"/>
            <w:shd w:val="clear" w:color="auto" w:fill="FFF2CC"/>
          </w:tcPr>
          <w:p>
            <w:r>
              <w:t>Pharmacy In-Charge</w:t>
            </w:r>
          </w:p>
        </w:tc>
        <w:tc>
          <w:tcPr>
            <w:tcW w:type="dxa" w:w="1440"/>
            <w:shd w:val="clear" w:color="auto" w:fill="FFF2CC"/>
          </w:tcPr>
          <w:p>
            <w:r>
              <w:t>15-Feb-2026</w:t>
            </w:r>
          </w:p>
        </w:tc>
        <w:tc>
          <w:tcPr>
            <w:tcW w:type="dxa" w:w="1440"/>
            <w:shd w:val="clear" w:color="auto" w:fill="FFF2CC"/>
          </w:tcPr>
          <w:p>
            <w:r>
              <w:t>Closed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