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MOM.2.b — Sound inventory control practices guide storage of the medications throughout the organisation.</w:t>
      </w:r>
    </w:p>
    <w:p>
      <w:r>
        <w:t>MOM.2 Record 02 — Monthly stock-count and reconciliation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that stock is actually counted and reconciled against the register every month, with discrepancies investigated -- not that a register exists while nobody checks it against what's on the shelf.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monthly stock count finds the register overstates one item by two units; the Pharmacy In-Charge investigates the same day and finds a dispensing entry that was never logged.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Stock that is never counted is stock nobody can vouch for -- a discrepancy caught this month is a near-miss; the same discrepancy caught only after a patient is affected is not.</w:t>
            </w:r>
          </w:p>
        </w:tc>
      </w:tr>
    </w:tbl>
    <w:p/>
    <w:p>
      <w:r>
        <w:t>How to fill this in — column by column</w:t>
      </w:r>
    </w:p>
    <w:p>
      <w:r>
        <w:t>Count Date: Date of the monthly stock count.</w:t>
      </w:r>
    </w:p>
    <w:p>
      <w:r>
        <w:t>Medication: Item counted.</w:t>
      </w:r>
    </w:p>
    <w:p>
      <w:r>
        <w:t>Register Quantity: What the register shows.</w:t>
      </w:r>
    </w:p>
    <w:p>
      <w:r>
        <w:t>Physical Count: What was actually counted.</w:t>
      </w:r>
    </w:p>
    <w:p>
      <w:r>
        <w:t>Discrepancy (Y/N): Whether the two matched.</w:t>
      </w:r>
    </w:p>
    <w:p>
      <w:r>
        <w:t>Investigated By / Outcome: Who investigated and what was found.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Count Date</w:t>
            </w:r>
          </w:p>
        </w:tc>
        <w:tc>
          <w:tcPr>
            <w:tcW w:type="dxa" w:w="1440"/>
          </w:tcPr>
          <w:p>
            <w:r>
              <w:t>Medication</w:t>
            </w:r>
          </w:p>
        </w:tc>
        <w:tc>
          <w:tcPr>
            <w:tcW w:type="dxa" w:w="1440"/>
          </w:tcPr>
          <w:p>
            <w:r>
              <w:t>Register Quantity</w:t>
            </w:r>
          </w:p>
        </w:tc>
        <w:tc>
          <w:tcPr>
            <w:tcW w:type="dxa" w:w="1440"/>
          </w:tcPr>
          <w:p>
            <w:r>
              <w:t>Physical Count</w:t>
            </w:r>
          </w:p>
        </w:tc>
        <w:tc>
          <w:tcPr>
            <w:tcW w:type="dxa" w:w="1440"/>
          </w:tcPr>
          <w:p>
            <w:r>
              <w:t>Discrepancy (Y/N)</w:t>
            </w:r>
          </w:p>
        </w:tc>
        <w:tc>
          <w:tcPr>
            <w:tcW w:type="dxa" w:w="1440"/>
          </w:tcPr>
          <w:p>
            <w:r>
              <w:t>Investigated By / Outcome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WORKED EXAMPLE — 01-Feb-2026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Ceftriaxone 1g vial</w:t>
            </w:r>
          </w:p>
        </w:tc>
        <w:tc>
          <w:tcPr>
            <w:tcW w:type="dxa" w:w="1440"/>
            <w:shd w:val="clear" w:color="auto" w:fill="FFF2CC"/>
          </w:tcPr>
          <w:p>
            <w:r>
              <w:t>48</w:t>
            </w:r>
          </w:p>
        </w:tc>
        <w:tc>
          <w:tcPr>
            <w:tcW w:type="dxa" w:w="1440"/>
            <w:shd w:val="clear" w:color="auto" w:fill="FFF2CC"/>
          </w:tcPr>
          <w:p>
            <w:r>
              <w:t>46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Pharmacy In-Charge — unlogged dispensing entry corrected same day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