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MOM.2.c — The organisation defines a list and mechanism for storage of high-risk medication(s) including look-alike sound-alike medications.</w:t>
      </w:r>
    </w:p>
    <w:p>
      <w:r>
        <w:t>MOM.2 Record 03 — High-risk and look-alike/sound-alike medication list and safeguard inspection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committee-approved high-risk list exists, is reviewed annually, and that the physical safeguards -- tall-man lettering, colour-coding, separation -- are actually in place, not just described in a policy.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monthly inspection confirms tall-man lettering is in place for a look-alike pair (hydrOXYzine / hydrALAZINE) and that they are physically separated on the shelf.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Two boxes that look almost identical, sitting on the same shelf, is exactly how the wrong one gets picked up by a tired hand in a hurry -- the safeguard has to be physical, not just a note in a policy.</w:t>
            </w:r>
          </w:p>
        </w:tc>
      </w:tr>
    </w:tbl>
    <w:p/>
    <w:p>
      <w:r>
        <w:t>How to fill this in — column by column</w:t>
      </w:r>
    </w:p>
    <w:p>
      <w:r>
        <w:t>Inspection Date: Date of the monthly safeguard check.</w:t>
      </w:r>
    </w:p>
    <w:p>
      <w:r>
        <w:t>High-Risk / LASA Item(s): The medication(s) checked.</w:t>
      </w:r>
    </w:p>
    <w:p>
      <w:r>
        <w:t>Safeguard Checked: Tall-man lettering, colour-coding, physical separation, alert sticker.</w:t>
      </w:r>
    </w:p>
    <w:p>
      <w:r>
        <w:t>In Place (Y/N): Whether the safeguard was actually present.</w:t>
      </w:r>
    </w:p>
    <w:p>
      <w:r>
        <w:t>Inspected By: Pharmacy In-Charge.</w:t>
      </w:r>
    </w:p>
    <w:p>
      <w:r>
        <w:t>Annual List Review Date: When the committee last reviewed the full high-risk/LASA list.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Inspection Date</w:t>
            </w:r>
          </w:p>
        </w:tc>
        <w:tc>
          <w:tcPr>
            <w:tcW w:type="dxa" w:w="1440"/>
          </w:tcPr>
          <w:p>
            <w:r>
              <w:t>High-Risk / LASA Item(s)</w:t>
            </w:r>
          </w:p>
        </w:tc>
        <w:tc>
          <w:tcPr>
            <w:tcW w:type="dxa" w:w="1440"/>
          </w:tcPr>
          <w:p>
            <w:r>
              <w:t>Safeguard Checked</w:t>
            </w:r>
          </w:p>
        </w:tc>
        <w:tc>
          <w:tcPr>
            <w:tcW w:type="dxa" w:w="1440"/>
          </w:tcPr>
          <w:p>
            <w:r>
              <w:t>In Place (Y/N)</w:t>
            </w:r>
          </w:p>
        </w:tc>
        <w:tc>
          <w:tcPr>
            <w:tcW w:type="dxa" w:w="1440"/>
          </w:tcPr>
          <w:p>
            <w:r>
              <w:t>Inspected By</w:t>
            </w:r>
          </w:p>
        </w:tc>
        <w:tc>
          <w:tcPr>
            <w:tcW w:type="dxa" w:w="1440"/>
          </w:tcPr>
          <w:p>
            <w:r>
              <w:t>Annual List Review Date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 — 10-Feb-2026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hydrOXYzine / hydrALAZINE</w:t>
            </w:r>
          </w:p>
        </w:tc>
        <w:tc>
          <w:tcPr>
            <w:tcW w:type="dxa" w:w="1440"/>
            <w:shd w:val="clear" w:color="auto" w:fill="FFF2CC"/>
          </w:tcPr>
          <w:p>
            <w:r>
              <w:t>Tall-man lettering + physical separation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Pharmacy In-Charge</w:t>
            </w:r>
          </w:p>
        </w:tc>
        <w:tc>
          <w:tcPr>
            <w:tcW w:type="dxa" w:w="1440"/>
            <w:shd w:val="clear" w:color="auto" w:fill="FFF2CC"/>
          </w:tcPr>
          <w:p>
            <w:r>
              <w:t>15-Aug-2026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