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MOM.3.d — The organisation has a mechanism to assist the clinician in prescribing appropriate medication.</w:t>
      </w:r>
    </w:p>
    <w:p>
      <w:r>
        <w:t>MOM.3 Record 04 — Clinical decision-support resource availability and annual review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decision-support resources -- the formulary, interaction reference, allergy alerts -- are actually available where a prescriber is writing an order, and reviewed annually for adequacy.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annual review confirms the drug-interaction reference at the pharmacy counter is the current edition and adds an updated allergy-alert sticker format.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prescriber working alone, with no interaction reference and no allergy alert, is asked to hold the whole risk picture in their head for every order -- decision support exists because no one should have to.</w:t>
            </w:r>
          </w:p>
        </w:tc>
      </w:tr>
    </w:tbl>
    <w:p/>
    <w:p>
      <w:r>
        <w:t>How to fill this in — column by column</w:t>
      </w:r>
    </w:p>
    <w:p>
      <w:r>
        <w:t>Review Date: Annual review date.</w:t>
      </w:r>
    </w:p>
    <w:p>
      <w:r>
        <w:t>Resource: Formulary, interaction reference, allergy-alert system, etc.</w:t>
      </w:r>
    </w:p>
    <w:p>
      <w:r>
        <w:t>Available Where: Pharmacy counter, nursing station, electronic system.</w:t>
      </w:r>
    </w:p>
    <w:p>
      <w:r>
        <w:t>Adequate (Y/N): Committee's assessment.</w:t>
      </w:r>
    </w:p>
    <w:p>
      <w:r>
        <w:t>Action (if any): Update, replace, or add a resource.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Review Date</w:t>
            </w:r>
          </w:p>
        </w:tc>
        <w:tc>
          <w:tcPr>
            <w:tcW w:type="dxa" w:w="1728"/>
          </w:tcPr>
          <w:p>
            <w:r>
              <w:t>Resource</w:t>
            </w:r>
          </w:p>
        </w:tc>
        <w:tc>
          <w:tcPr>
            <w:tcW w:type="dxa" w:w="1728"/>
          </w:tcPr>
          <w:p>
            <w:r>
              <w:t>Available Where</w:t>
            </w:r>
          </w:p>
        </w:tc>
        <w:tc>
          <w:tcPr>
            <w:tcW w:type="dxa" w:w="1728"/>
          </w:tcPr>
          <w:p>
            <w:r>
              <w:t>Adequate (Y/N)</w:t>
            </w:r>
          </w:p>
        </w:tc>
        <w:tc>
          <w:tcPr>
            <w:tcW w:type="dxa" w:w="1728"/>
          </w:tcPr>
          <w:p>
            <w:r>
              <w:t>Action (if any)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20-Mar-2026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Drug-interaction reference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Pharmacy counter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Updated to latest edition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