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PRE.2.c — Patient and family rights include protection from neglect or abuse.</w:t>
      </w:r>
    </w:p>
    <w:p>
      <w:r>
        <w:t>PRE.2 Record 03 — Neglect/abuse suspicion report log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every suspicion of neglect or abuse was actually reported the moment it was noticed -- not quietly let go.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A nurse notices unexplained bruising on an elderly patient and reports the suspicion to the Patient Rights Officer the same shift.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 suspicion that is noticed and then let go is the moment that allows it to happen again to the next patient.</w:t>
            </w:r>
          </w:p>
        </w:tc>
      </w:tr>
    </w:tbl>
    <w:p/>
    <w:p>
      <w:r>
        <w:t>How to fill this in — column by column</w:t>
      </w:r>
    </w:p>
    <w:p>
      <w:r>
        <w:t>Date/Time: When noticed.</w:t>
      </w:r>
    </w:p>
    <w:p>
      <w:r>
        <w:t>Patient (Identifier 1) / UID (Identifier 2): The patient.</w:t>
      </w:r>
    </w:p>
    <w:p>
      <w:r>
        <w:t>Suspicion Noted: What was observed.</w:t>
      </w:r>
    </w:p>
    <w:p>
      <w:r>
        <w:t>Reported By / To: Staff member and receiver.</w:t>
      </w:r>
    </w:p>
    <w:p>
      <w:r>
        <w:t>Entered in PRE.1.d Violation Log (Y/N): Confirmed.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Patient Rights and Education chapter, standard PRE.2.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Date/Time</w:t>
            </w:r>
          </w:p>
        </w:tc>
        <w:tc>
          <w:tcPr>
            <w:tcW w:type="dxa" w:w="1728"/>
          </w:tcPr>
          <w:p>
            <w:r>
              <w:t>Patient (Identifier 1) / UID (Identifier 2)</w:t>
            </w:r>
          </w:p>
        </w:tc>
        <w:tc>
          <w:tcPr>
            <w:tcW w:type="dxa" w:w="1728"/>
          </w:tcPr>
          <w:p>
            <w:r>
              <w:t>Suspicion Noted</w:t>
            </w:r>
          </w:p>
        </w:tc>
        <w:tc>
          <w:tcPr>
            <w:tcW w:type="dxa" w:w="1728"/>
          </w:tcPr>
          <w:p>
            <w:r>
              <w:t>Reported By / To</w:t>
            </w:r>
          </w:p>
        </w:tc>
        <w:tc>
          <w:tcPr>
            <w:tcW w:type="dxa" w:w="1728"/>
          </w:tcPr>
          <w:p>
            <w:r>
              <w:t>Entered in PRE.1.d Violation Log (Y/N)</w:t>
            </w:r>
          </w:p>
        </w:tc>
      </w:tr>
      <w:t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c>
          <w:tcPr>
            <w:tcW w:type="dxa" w:w="1728"/>
            <w:shd w:val="clear" w:color="auto" w:fill="FFF2CC"/>
          </w:tcPr>
          <w:p>
            <w:r>
              <w:t>WORKED EXAMPLE — 16-Jun-2026, 2:00 PM</w:t>
            </w:r>
          </w:p>
        </w:tc>
        <w:tc>
          <w:tcPr>
            <w:tcW w:type="dxa" w:w="1728"/>
            <w:shd w:val="clear" w:color="auto" w:fill="FFF2CC"/>
          </w:tcPr>
          <w:p>
            <w:r>
              <w:t>Kamala Devi / UID-00918</w:t>
            </w:r>
          </w:p>
        </w:tc>
        <w:tc>
          <w:tcPr>
            <w:tcW w:type="dxa" w:w="1728"/>
            <w:shd w:val="clear" w:color="auto" w:fill="FFF2CC"/>
          </w:tcPr>
          <w:p>
            <w:r>
              <w:t>Unexplained bruising</w:t>
            </w:r>
          </w:p>
        </w:tc>
        <w:tc>
          <w:tcPr>
            <w:tcW w:type="dxa" w:w="1728"/>
            <w:shd w:val="clear" w:color="auto" w:fill="FFF2CC"/>
          </w:tcPr>
          <w:p>
            <w:r>
              <w:t>Staff Nurse R. Menon / Patient Rights Officer</w:t>
            </w:r>
          </w:p>
        </w:tc>
        <w:tc>
          <w:tcPr>
            <w:tcW w:type="dxa" w:w="1728"/>
            <w:shd w:val="clear" w:color="auto" w:fill="FFF2CC"/>
          </w:tcPr>
          <w:p>
            <w:r>
              <w:t>Y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