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PSQ.1.c — The organisation performs proactive analysis of patient safety risks and makes improvement accordingly.</w:t>
      </w:r>
    </w:p>
    <w:p>
      <w:r>
        <w:t>PSQ.1 Record 04 — Proactive risk analysis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structured proactive analysis -- such as FMEA -- was actually performed on a high-risk process, with a risk score and resulting action, not only discussed informally.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FMEA on the medication-dispensing process identifies a high-risk failure mode (look-alike packaging) and the committee approves a shelf-labelling fix.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Waiting for a risk to cause harm before analysing it means the analysis always arrives too late to help the patient it was about.</w:t>
            </w:r>
          </w:p>
        </w:tc>
      </w:tr>
    </w:tbl>
    <w:p/>
    <w:p>
      <w:r>
        <w:t>How to fill this in — column by column</w:t>
      </w:r>
    </w:p>
    <w:p>
      <w:r>
        <w:t>Date: Date of analysis.</w:t>
      </w:r>
    </w:p>
    <w:p>
      <w:r>
        <w:t>Process Analysed: What was studied.</w:t>
      </w:r>
    </w:p>
    <w:p>
      <w:r>
        <w:t>Method: FMEA or equivalent.</w:t>
      </w:r>
    </w:p>
    <w:p>
      <w:r>
        <w:t>Risk Score / Finding: Result.</w:t>
      </w:r>
    </w:p>
    <w:p>
      <w:r>
        <w:t>Action Approved: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Process Analysed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Risk Score / Finding</w:t>
            </w:r>
          </w:p>
        </w:tc>
        <w:tc>
          <w:tcPr>
            <w:tcW w:type="dxa" w:w="1728"/>
          </w:tcPr>
          <w:p>
            <w:r>
              <w:t>Action Approved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20-Apr-2026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Medication dispensing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FMEA</w:t>
            </w:r>
          </w:p>
        </w:tc>
        <w:tc>
          <w:tcPr>
            <w:tcW w:type="dxa" w:w="1728"/>
            <w:shd w:val="clear" w:color="auto" w:fill="FFF2CC"/>
          </w:tcPr>
          <w:p>
            <w:r>
              <w:t>High risk — look-alike packaging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Shelf re-labelling and separation implemented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