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PSQ.1.h — Audits are conducted at regular intervals as a means of continuous monitoring. There is an established process in the organisation to monitor and improve quality of nursing care.</w:t>
      </w:r>
    </w:p>
    <w:p>
      <w:r>
        <w:t>PSQ.1 Record 09 — Audit schedule and nursing-quality indicator tracker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annual audit schedule was actually followed and nursing quality indicators were actually tracked monthly with trend review -- not a schedule and indicator set that exist only as templates.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audit schedule shows hand hygiene and medication safety audits completed on time; the nursing-quality tracker shows the monthly pressure-injury rate reviewed by the committee.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audit schedule that is never actually run, or nursing quality folded silently into general ward statistics, leaves this hospital finding out about a gap only when NABH does.</w:t>
            </w:r>
          </w:p>
        </w:tc>
      </w:tr>
    </w:tbl>
    <w:p/>
    <w:p>
      <w:r>
        <w:t>How to fill this in — column by column</w:t>
      </w:r>
    </w:p>
    <w:p>
      <w:r>
        <w:t>Month: Which month.</w:t>
      </w:r>
    </w:p>
    <w:p>
      <w:r>
        <w:t>Audit Completed (Y/N, Topic): Confirmed.</w:t>
      </w:r>
    </w:p>
    <w:p>
      <w:r>
        <w:t>Nursing Indicator Reported: Pressure-injury rate, fall rate, medication-administration accuracy.</w:t>
      </w:r>
    </w:p>
    <w:p>
      <w:r>
        <w:t>Trend Reviewed By Committee (Y/N): Confirmed.</w:t>
      </w:r>
    </w:p>
    <w:p>
      <w:r>
        <w:t>Action (if any): Improvement action taken.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Audit Completed (Y/N, Topic)</w:t>
            </w:r>
          </w:p>
        </w:tc>
        <w:tc>
          <w:tcPr>
            <w:tcW w:type="dxa" w:w="1728"/>
          </w:tcPr>
          <w:p>
            <w:r>
              <w:t>Nursing Indicator Reported</w:t>
            </w:r>
          </w:p>
        </w:tc>
        <w:tc>
          <w:tcPr>
            <w:tcW w:type="dxa" w:w="1728"/>
          </w:tcPr>
          <w:p>
            <w:r>
              <w:t>Trend Reviewed By Committee (Y/N)</w:t>
            </w:r>
          </w:p>
        </w:tc>
        <w:tc>
          <w:tcPr>
            <w:tcW w:type="dxa" w:w="1728"/>
          </w:tcPr>
          <w:p>
            <w:r>
              <w:t>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April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Hand hygiene</w:t>
            </w:r>
          </w:p>
        </w:tc>
        <w:tc>
          <w:tcPr>
            <w:tcW w:type="dxa" w:w="1728"/>
            <w:shd w:val="clear" w:color="auto" w:fill="FFF2CC"/>
          </w:tcPr>
          <w:p>
            <w:r>
              <w:t>Fall rate: 0.8 per 1,000 patient-days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 — within target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