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PSQ.2.a — The organisation identifies and monitors key indicators to oversee the clinical structures, processes and outcomes.</w:t>
      </w:r>
    </w:p>
    <w:p>
      <w:r>
        <w:t>PSQ.2 Record 02 — Monthly clinical indicator data sheet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clinical indicator data was actually collected every month and reviewed by the committee -- not a register that exists with no data behind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April data sheet shows the surgical site infection rate at 1.5%, within target, reviewed at the quarterly committee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register with no monthly data behind it is a template, not a monitoring system.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Indicator: Which one.</w:t>
      </w:r>
    </w:p>
    <w:p>
      <w:r>
        <w:t>Value: Measured result.</w:t>
      </w:r>
    </w:p>
    <w:p>
      <w:r>
        <w:t>Within Target (Y/N): Confirmed.</w:t>
      </w:r>
    </w:p>
    <w:p>
      <w:r>
        <w:t>Reviewed By Committee (Y/N, Date):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Within Target (Y/N)</w:t>
            </w:r>
          </w:p>
        </w:tc>
        <w:tc>
          <w:tcPr>
            <w:tcW w:type="dxa" w:w="1728"/>
          </w:tcPr>
          <w:p>
            <w:r>
              <w:t>Reviewed By Committee (Y/N, Date)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April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Surgical site infection rate</w:t>
            </w:r>
          </w:p>
        </w:tc>
        <w:tc>
          <w:tcPr>
            <w:tcW w:type="dxa" w:w="1728"/>
            <w:shd w:val="clear" w:color="auto" w:fill="FFF2CC"/>
          </w:tcPr>
          <w:p>
            <w:r>
              <w:t>1.5%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10-Jul-2026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