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PSQ.4.b — The leaders at all levels in the organisation are aware of the intent of the patient safety quality improvement programme and the approach to its implementation.</w:t>
      </w:r>
    </w:p>
    <w:p>
      <w:r>
        <w:t>PSQ.4 Record 02 — Leadership briefing and acknowledgement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leader actually attended a briefing and acknowledged understanding the programme's intent -- not assumed aware because they hold a leadership title.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annual leadership briefing is attended by all 8 department heads, each signing an acknowledgement of the programme's intent and approach.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department head who has never heard what the QI programme is actually trying to achieve cannot lead their team toward it, however good the programme document is.</w:t>
            </w:r>
          </w:p>
        </w:tc>
      </w:tr>
    </w:tbl>
    <w:p/>
    <w:p>
      <w:r>
        <w:t>How to fill this in — column by column</w:t>
      </w:r>
    </w:p>
    <w:p>
      <w:r>
        <w:t>Leader Name: Named.</w:t>
      </w:r>
    </w:p>
    <w:p>
      <w:r>
        <w:t>Department: Theirs.</w:t>
      </w:r>
    </w:p>
    <w:p>
      <w:r>
        <w:t>Briefing Date: When attended.</w:t>
      </w:r>
    </w:p>
    <w:p>
      <w:r>
        <w:t>Acknowledgement Signed (Y/N): Confirmed.</w:t>
      </w:r>
    </w:p>
    <w:p>
      <w:r>
        <w:t>New Leader — Orientation Within 30 Days (Y/N/NA):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Leader Name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Briefing Date</w:t>
            </w:r>
          </w:p>
        </w:tc>
        <w:tc>
          <w:tcPr>
            <w:tcW w:type="dxa" w:w="1728"/>
          </w:tcPr>
          <w:p>
            <w:r>
              <w:t>Acknowledgement Signed (Y/N)</w:t>
            </w:r>
          </w:p>
        </w:tc>
        <w:tc>
          <w:tcPr>
            <w:tcW w:type="dxa" w:w="1728"/>
          </w:tcPr>
          <w:p>
            <w:r>
              <w:t>New Leader — Orientation Within 30 Days (Y/N/NA)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Dr. Priya Shah</w:t>
            </w:r>
          </w:p>
        </w:tc>
        <w:tc>
          <w:tcPr>
            <w:tcW w:type="dxa" w:w="1728"/>
            <w:shd w:val="clear" w:color="auto" w:fill="FFF2CC"/>
          </w:tcPr>
          <w:p>
            <w:r>
              <w:t>Laboratory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