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PSQ.4.c — The management makes available adequate resources required for patient safety and quality improvement programme, earmarks adequate funds from its annual budget in this regard.</w:t>
      </w:r>
    </w:p>
    <w:p>
      <w:r>
        <w:t>PSQ.4 Record 04 — Resource shortfall escalation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resource shortfall that actually compromised programme effectiveness was escalated in writing -- not absorbed silently by whoever was short-staffed that quarter.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shortage of trained auditors is escalated to the Medical Superintendent, who approves funding for an additional staff member's audit training.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shortfall nobody escalates in writing gets treated as normal, and a resource gap that becomes normal never gets fixed.</w:t>
            </w:r>
          </w:p>
        </w:tc>
      </w:tr>
    </w:tbl>
    <w:p/>
    <w:p>
      <w:r>
        <w:t>How to fill this in — column by column</w:t>
      </w:r>
    </w:p>
    <w:p>
      <w:r>
        <w:t>Date: Date raised.</w:t>
      </w:r>
    </w:p>
    <w:p>
      <w:r>
        <w:t>Shortfall Identified: What is missing.</w:t>
      </w:r>
    </w:p>
    <w:p>
      <w:r>
        <w:t>Impact on Programme: Effect.</w:t>
      </w:r>
    </w:p>
    <w:p>
      <w:r>
        <w:t>Escalated By / To: Who raised it and to whom.</w:t>
      </w:r>
    </w:p>
    <w:p>
      <w:r>
        <w:t>Resolution: What was decided.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Shortfall Identified</w:t>
            </w:r>
          </w:p>
        </w:tc>
        <w:tc>
          <w:tcPr>
            <w:tcW w:type="dxa" w:w="1728"/>
          </w:tcPr>
          <w:p>
            <w:r>
              <w:t>Impact on Programme</w:t>
            </w:r>
          </w:p>
        </w:tc>
        <w:tc>
          <w:tcPr>
            <w:tcW w:type="dxa" w:w="1728"/>
          </w:tcPr>
          <w:p>
            <w:r>
              <w:t>Escalated By / To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10-Jun-2026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Only 1 trained auditor for 3 planned clinical audits</w:t>
            </w:r>
          </w:p>
        </w:tc>
        <w:tc>
          <w:tcPr>
            <w:tcW w:type="dxa" w:w="1728"/>
            <w:shd w:val="clear" w:color="auto" w:fill="FFF2CC"/>
          </w:tcPr>
          <w:p>
            <w:r>
              <w:t>Audit plan at risk of delay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Quality Coordinator / Medical Superintendent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Funded audit-training for a second staff member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