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PSQ.5.c — The organisation has an established process for analysis of incidents.</w:t>
      </w:r>
    </w:p>
    <w:p>
      <w:r>
        <w:t>PSQ.5 Record 03 — Root-cause analysis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sentinel or serious adverse event actually received a root-cause analysis by a multi-disciplinary team, with a timeline and named root causes -- not a light-touch review mismatched to its severity.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serious adverse event receives an RCA by a 4-person multi-disciplinary team within 72 hours, using the five-whys method to trace a system root cause back to handover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Treating a sentinel event with the same light-touch review as a minor near-miss misses the depth a serious event actually needs.</w:t>
            </w:r>
          </w:p>
        </w:tc>
      </w:tr>
    </w:tbl>
    <w:p/>
    <w:p>
      <w:r>
        <w:t>How to fill this in — column by column</w:t>
      </w:r>
    </w:p>
    <w:p>
      <w:r>
        <w:t>Event Date: When it occurred.</w:t>
      </w:r>
    </w:p>
    <w:p>
      <w:r>
        <w:t>RCA Team Members: Named, multi-disciplinary.</w:t>
      </w:r>
    </w:p>
    <w:p>
      <w:r>
        <w:t>Method Used: Five-whys, fishbone diagram, or timeline reconstruction.</w:t>
      </w:r>
    </w:p>
    <w:p>
      <w:r>
        <w:t>Timeline / Root Cause(s) Identified: Sequence of events and result.</w:t>
      </w:r>
    </w:p>
    <w:p>
      <w:r>
        <w:t>RCA Completion Date (Within 72 Hours): When finished.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PSQ.5.</w:t>
      </w:r>
    </w:p>
    <w:p>
      <w:pPr>
        <w:pStyle w:val="ListParagraph"/>
      </w:pPr>
      <w:r>
        <w:t xml:space="preserve">• </w:t>
      </w:r>
      <w:r>
        <w:t xml:space="preserve">World Health Organization. (2021, February 23). </w:t>
      </w:r>
      <w:hyperlink r:id="rId10">
        <w:r>
          <w:rPr>
            <w:color w:val="0563C1"/>
            <w:u w:val="single"/>
          </w:rPr>
          <w:t>Multi-professional patient safety curriculum guide -- Topic 5: Learning from errors to prevent harm</w:t>
        </w:r>
      </w:hyperlink>
      <w:r>
        <w:t>, Course 05a: Root cause analysis. Geneva: WHO -- the root-cause-analysis teaching material this hospital's RCA method (five-whys, fishbone diagram, timeline analysis) is grounded in.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Event Date</w:t>
            </w:r>
          </w:p>
        </w:tc>
        <w:tc>
          <w:tcPr>
            <w:tcW w:type="dxa" w:w="1728"/>
          </w:tcPr>
          <w:p>
            <w:r>
              <w:t>RCA Team Members</w:t>
            </w:r>
          </w:p>
        </w:tc>
        <w:tc>
          <w:tcPr>
            <w:tcW w:type="dxa" w:w="1728"/>
          </w:tcPr>
          <w:p>
            <w:r>
              <w:t>Method Used</w:t>
            </w:r>
          </w:p>
        </w:tc>
        <w:tc>
          <w:tcPr>
            <w:tcW w:type="dxa" w:w="1728"/>
          </w:tcPr>
          <w:p>
            <w:r>
              <w:t>Timeline / Root Cause(s) Identified</w:t>
            </w:r>
          </w:p>
        </w:tc>
        <w:tc>
          <w:tcPr>
            <w:tcW w:type="dxa" w:w="1728"/>
          </w:tcPr>
          <w:p>
            <w:r>
              <w:t>RCA Completion Date (Within 72 Hours)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20-Jun-2026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Nair, Nursing In-Charge R. Patel, Quality Coordinator A. Deshmukh, Pharmacist S. Joshi</w:t>
            </w:r>
          </w:p>
        </w:tc>
        <w:tc>
          <w:tcPr>
            <w:tcW w:type="dxa" w:w="1728"/>
            <w:shd w:val="clear" w:color="auto" w:fill="FFF2CC"/>
          </w:tcPr>
          <w:p>
            <w:r>
              <w:t>Five-whys</w:t>
            </w:r>
          </w:p>
        </w:tc>
        <w:tc>
          <w:tcPr>
            <w:tcW w:type="dxa" w:w="1728"/>
            <w:shd w:val="clear" w:color="auto" w:fill="FFF2CC"/>
          </w:tcPr>
          <w:p>
            <w:r>
              <w:t>Handover at 7am missed critical allergy information — system root cause: verbal-only handover with no written checklist</w:t>
            </w:r>
          </w:p>
        </w:tc>
        <w:tc>
          <w:tcPr>
            <w:tcW w:type="dxa" w:w="1728"/>
            <w:shd w:val="clear" w:color="auto" w:fill="FFF2CC"/>
          </w:tcPr>
          <w:p>
            <w:r>
              <w:t>22-Jun-2026 (within 72 hours)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who.int/teams/integrated-health-services/quality-of-care-and-patient-safety/patient-safety-guidance-and-tools/education-and-training/multi-professional-curriculum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