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ROM.1.a — Those responsible for governance are identified, and their roles and responsibilities are defined and documented.</w:t>
      </w:r>
    </w:p>
    <w:p>
      <w:r>
        <w:t>ROM.1 Record 01 — Governance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Role Holder Name: The person's full name.</w:t>
      </w:r>
    </w:p>
    <w:p>
      <w:pPr>
        <w:pStyle w:val="ListParagraph"/>
      </w:pPr>
      <w:r>
        <w:t>Designation: Their governance role — owner, board member, trustee, etc.</w:t>
      </w:r>
    </w:p>
    <w:p>
      <w:pPr>
        <w:pStyle w:val="ListParagraph"/>
      </w:pPr>
      <w:r>
        <w:t>Documented Responsibilities: What this role is accountable for.</w:t>
      </w:r>
    </w:p>
    <w:p>
      <w:pPr>
        <w:pStyle w:val="ListParagraph"/>
      </w:pPr>
      <w:r>
        <w:t>Date Added / Last Confirmed: When this entry was added or last confirmed accurate.</w:t>
      </w:r>
    </w:p>
    <w:p>
      <w:pPr>
        <w:pStyle w:val="ListParagraph"/>
      </w:pPr>
      <w:r>
        <w:t>Communicated to Dept. Heads (Y/N): Whether this structure has been communicated downward.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list of who is responsible for governance at the hospital, what each person is accountable for, and when that was last confirmed accurate.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adds or confirms an entry whenever a governance role is created, filled, or changed. The worked example shows the Chairperson entry confirmed 02-Jan-2026.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a written register, nobody — not the organisation and not an assessor — can verify who is actually accountable for governance, which makes every other governance requirement in this chapter unenforceable.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Role Holder Name</w:t>
            </w:r>
          </w:p>
        </w:tc>
        <w:tc>
          <w:tcPr>
            <w:tcW w:type="dxa" w:w="1728"/>
          </w:tcPr>
          <w:p>
            <w:r>
              <w:t>Designation</w:t>
            </w:r>
          </w:p>
        </w:tc>
        <w:tc>
          <w:tcPr>
            <w:tcW w:type="dxa" w:w="1728"/>
          </w:tcPr>
          <w:p>
            <w:r>
              <w:t>Documented Responsibilities</w:t>
            </w:r>
          </w:p>
        </w:tc>
        <w:tc>
          <w:tcPr>
            <w:tcW w:type="dxa" w:w="1728"/>
          </w:tcPr>
          <w:p>
            <w:r>
              <w:t>Date Added / Last Confirmed</w:t>
            </w:r>
          </w:p>
        </w:tc>
        <w:tc>
          <w:tcPr>
            <w:tcW w:type="dxa" w:w="1728"/>
          </w:tcPr>
          <w:p>
            <w:r>
              <w:t>Communicated to Dept. Heads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Dr. Rajiv Mehta</w:t>
            </w:r>
          </w:p>
        </w:tc>
        <w:tc>
          <w:tcPr>
            <w:tcW w:type="dxa" w:w="1728"/>
            <w:shd w:val="clear" w:color="auto" w:fill="FFF2CC"/>
          </w:tcPr>
          <w:p>
            <w:r>
              <w:t>Chairperson, Governing Body</w:t>
            </w:r>
          </w:p>
        </w:tc>
        <w:tc>
          <w:tcPr>
            <w:tcW w:type="dxa" w:w="1728"/>
            <w:shd w:val="clear" w:color="auto" w:fill="FFF2CC"/>
          </w:tcPr>
          <w:p>
            <w:r>
              <w:t>Overall governance accountability; approves strategic plans and budget</w:t>
            </w:r>
          </w:p>
        </w:tc>
        <w:tc>
          <w:tcPr>
            <w:tcW w:type="dxa" w:w="1728"/>
            <w:shd w:val="clear" w:color="auto" w:fill="FFF2CC"/>
          </w:tcPr>
          <w:p>
            <w:r>
              <w:t>02-Jan-2026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