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ROM.1.e — Those responsible for governance support the ethical management framework of the organisation.</w:t>
      </w:r>
    </w:p>
    <w:p>
      <w:r>
        <w:t>ROM.1 Record 01 — Ethical management framework — approval and annual review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Review Type: Initial approval, or annual review.</w:t>
      </w:r>
    </w:p>
    <w:p>
      <w:pPr>
        <w:pStyle w:val="ListParagraph"/>
      </w:pPr>
      <w:r>
        <w:t>Date: The date of this approval or review.</w:t>
      </w:r>
    </w:p>
    <w:p>
      <w:pPr>
        <w:pStyle w:val="ListParagraph"/>
      </w:pPr>
      <w:r>
        <w:t>Reviewed By: Who in the governing body conducted it.</w:t>
      </w:r>
    </w:p>
    <w:p>
      <w:pPr>
        <w:pStyle w:val="ListParagraph"/>
      </w:pPr>
      <w:r>
        <w:t>Outcome / Changes Made: What, if anything, changed as a result.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ListParagraph"/>
        <w:spacing w:after="240" w:before="80"/>
        <w:contextualSpacing w:val="0"/>
      </w:pPr>
      <w:r>
        <w:t xml:space="preserve">• National Medical Commission (formerly Medical Council of India). (2002, amended 2016). </w:t>
      </w:r>
      <w:hyperlink r:id="rId10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. Statutory backdrop for practitioner ethical conduct; referenced alongside, not instead of, the NABH governance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the framework's initial approval and each annual review — proof the governing body actually supports and checks it, not just that a document exists.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a row at initial approval and at every annual review. The worked example shows the 2026 annual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framework approved once and never revisited cannot be distinguished from a display-only code of ethics — this record is the evidence it is actively governed, not just written down.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Review Type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>
            <w:r>
              <w:t>Outcome / Changes Made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Annual review</w:t>
            </w:r>
          </w:p>
        </w:tc>
        <w:tc>
          <w:tcPr>
            <w:tcW w:type="dxa" w:w="2160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Governing Body (minuted)</w:t>
            </w:r>
          </w:p>
        </w:tc>
        <w:tc>
          <w:tcPr>
            <w:tcW w:type="dxa" w:w="2160"/>
            <w:shd w:val="clear" w:color="auto" w:fill="FFF2CC"/>
          </w:tcPr>
          <w:p>
            <w:r>
              <w:t>No changes to framework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nmc.org.in/rules-regulations/code-of-medical-ethics-regulations-2002/1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