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ROM.1.e — Those responsible for governance support the ethical management framework of the organisation.</w:t>
      </w:r>
    </w:p>
    <w:p>
      <w:r>
        <w:t>ROM.1 Record 03 — Ethical concerns register (including anonymous reports and retaliation checks)</w:t>
      </w:r>
    </w:p>
    <w:p/>
    <w:p/>
    <w:p/>
    <w:p>
      <w:r>
        <w:t>How to fill this in — column by column</w:t>
      </w:r>
    </w:p>
    <w:p>
      <w:pPr>
        <w:pStyle w:val="ListParagraph"/>
      </w:pPr>
      <w:r>
        <w:t>Case No.: A unique case number assigned on the day the concern was received.</w:t>
      </w:r>
    </w:p>
    <w:p>
      <w:pPr>
        <w:pStyle w:val="ListParagraph"/>
      </w:pPr>
      <w:r>
        <w:t>Date Received: The date the concern was logged.</w:t>
      </w:r>
    </w:p>
    <w:p>
      <w:pPr>
        <w:pStyle w:val="ListParagraph"/>
      </w:pPr>
      <w:r>
        <w:t>Reported Anonymously (Y/N): Whether the reporter chose to stay anonymous.</w:t>
      </w:r>
    </w:p>
    <w:p>
      <w:pPr>
        <w:pStyle w:val="ListParagraph"/>
      </w:pPr>
      <w:r>
        <w:t>Nature of Concern: A brief, factual statement of what was raised.</w:t>
      </w:r>
    </w:p>
    <w:p>
      <w:pPr>
        <w:pStyle w:val="ListParagraph"/>
      </w:pPr>
      <w:r>
        <w:t>Action Taken: What was actually done in response.</w:t>
      </w:r>
    </w:p>
    <w:p>
      <w:pPr>
        <w:pStyle w:val="ListParagraph"/>
      </w:pPr>
      <w:r>
        <w:t>Retaliation Alleged (Y/N): Whether the reporter (if named) later alleged retaliation.</w:t>
      </w:r>
    </w:p>
    <w:p>
      <w:pPr>
        <w:pStyle w:val="ListParagraph"/>
      </w:pPr>
      <w:r>
        <w:t>Closure Date: The date the matter was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ethical concern reported, including anonymous ones, from receipt to closure, and tracks whether any reporter later alleged retaliation.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Whoever receives a concern logs it the same day, named or anonymous. The worked example shows a vendor-gift concern logged and closed within a week, with no retaliation alleged.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reporting mechanism with an empty register after a year of operation cannot be shown to work, and one with no anonymous option, or no retaliation check, discourages exactly the reports it exists to surface — this register proves both are genuinely in place.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</w:trPr>
        <w:tc>
          <w:tcPr>
            <w:tcW w:type="dxa" w:w="1234"/>
          </w:tcPr>
          <w:p>
            <w:r>
              <w:t>Case No.</w:t>
            </w:r>
          </w:p>
        </w:tc>
        <w:tc>
          <w:tcPr>
            <w:tcW w:type="dxa" w:w="1234"/>
          </w:tcPr>
          <w:p>
            <w:r>
              <w:t>Date Received</w:t>
            </w:r>
          </w:p>
        </w:tc>
        <w:tc>
          <w:tcPr>
            <w:tcW w:type="dxa" w:w="1234"/>
          </w:tcPr>
          <w:p>
            <w:r>
              <w:t>Reported Anonymously (Y/N)</w:t>
            </w:r>
          </w:p>
        </w:tc>
        <w:tc>
          <w:tcPr>
            <w:tcW w:type="dxa" w:w="1234"/>
          </w:tcPr>
          <w:p>
            <w:r>
              <w:t>Nature of Concern</w:t>
            </w:r>
          </w:p>
        </w:tc>
        <w:tc>
          <w:tcPr>
            <w:tcW w:type="dxa" w:w="1234"/>
          </w:tcPr>
          <w:p>
            <w:r>
              <w:t>Action Taken</w:t>
            </w:r>
          </w:p>
        </w:tc>
        <w:tc>
          <w:tcPr>
            <w:tcW w:type="dxa" w:w="1234"/>
          </w:tcPr>
          <w:p>
            <w:r>
              <w:t>Retaliation Alleged (Y/N)</w:t>
            </w:r>
          </w:p>
        </w:tc>
        <w:tc>
          <w:tcPr>
            <w:tcW w:type="dxa" w:w="1234"/>
          </w:tcPr>
          <w:p>
            <w:r>
              <w:t>Closure Date</w:t>
            </w:r>
          </w:p>
        </w:tc>
      </w:tr>
      <w:tr>
        <w:trPr>
          <w:cantSplit/>
        </w:trPr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234"/>
            <w:shd w:val="clear" w:color="auto" w:fill="FFF2CC"/>
          </w:tcPr>
          <w:p>
            <w:r>
              <w:t>ETH-2026-001</w:t>
            </w:r>
          </w:p>
        </w:tc>
        <w:tc>
          <w:tcPr>
            <w:tcW w:type="dxa" w:w="1234"/>
            <w:shd w:val="clear" w:color="auto" w:fill="FFF2CC"/>
          </w:tcPr>
          <w:p>
            <w:r>
              <w:t>08-Feb-2026</w:t>
            </w:r>
          </w:p>
        </w:tc>
        <w:tc>
          <w:tcPr>
            <w:tcW w:type="dxa" w:w="1234"/>
            <w:shd w:val="clear" w:color="auto" w:fill="FFF2CC"/>
          </w:tcPr>
          <w:p>
            <w:r>
              <w:t>N</w:t>
            </w:r>
          </w:p>
        </w:tc>
        <w:tc>
          <w:tcPr>
            <w:tcW w:type="dxa" w:w="1234"/>
            <w:shd w:val="clear" w:color="auto" w:fill="FFF2CC"/>
          </w:tcPr>
          <w:p>
            <w:r>
              <w:t>Vendor gift offer to a department head</w:t>
            </w:r>
          </w:p>
        </w:tc>
        <w:tc>
          <w:tcPr>
            <w:tcW w:type="dxa" w:w="1234"/>
            <w:shd w:val="clear" w:color="auto" w:fill="FFF2CC"/>
          </w:tcPr>
          <w:p>
            <w:r>
              <w:t>Declined per conflict-of-interest policy; reported to governing body</w:t>
            </w:r>
          </w:p>
        </w:tc>
        <w:tc>
          <w:tcPr>
            <w:tcW w:type="dxa" w:w="1234"/>
            <w:shd w:val="clear" w:color="auto" w:fill="FFF2CC"/>
          </w:tcPr>
          <w:p>
            <w:r>
              <w:t>N</w:t>
            </w:r>
          </w:p>
        </w:tc>
        <w:tc>
          <w:tcPr>
            <w:tcW w:type="dxa" w:w="1234"/>
            <w:shd w:val="clear" w:color="auto" w:fill="FFF2CC"/>
          </w:tcPr>
          <w:p>
            <w:r>
              <w:t>12-Feb-2026</w:t>
            </w:r>
          </w:p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